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17" w:rsidRDefault="00670CEC" w:rsidP="005247BF">
      <w:pPr>
        <w:pStyle w:val="NoSpacing1"/>
        <w:tabs>
          <w:tab w:val="left" w:pos="1080"/>
        </w:tabs>
        <w:jc w:val="both"/>
        <w:rPr>
          <w:rFonts w:ascii="Tahoma" w:hAnsi="Tahoma" w:cs="Tahoma"/>
          <w:b/>
          <w:color w:val="000000" w:themeColor="text1"/>
          <w:sz w:val="24"/>
          <w:szCs w:val="24"/>
        </w:rPr>
      </w:pPr>
      <w:r>
        <w:rPr>
          <w:rFonts w:ascii="Tahoma" w:hAnsi="Tahoma" w:cs="Tahoma"/>
          <w:b/>
          <w:color w:val="000000" w:themeColor="text1"/>
          <w:sz w:val="24"/>
          <w:szCs w:val="24"/>
        </w:rPr>
        <w:t>CUSTOMS ADMINISTRATIVE ORDER</w:t>
      </w:r>
    </w:p>
    <w:p w:rsidR="008A7E17" w:rsidRDefault="00670CEC" w:rsidP="005247BF">
      <w:pPr>
        <w:pStyle w:val="NoSpacing1"/>
        <w:tabs>
          <w:tab w:val="left" w:pos="1080"/>
        </w:tabs>
        <w:jc w:val="both"/>
        <w:rPr>
          <w:rFonts w:ascii="Tahoma" w:hAnsi="Tahoma" w:cs="Tahoma"/>
          <w:b/>
          <w:color w:val="000000" w:themeColor="text1"/>
          <w:sz w:val="24"/>
          <w:szCs w:val="24"/>
        </w:rPr>
      </w:pPr>
      <w:r>
        <w:rPr>
          <w:rFonts w:ascii="Tahoma" w:hAnsi="Tahoma" w:cs="Tahoma"/>
          <w:b/>
          <w:color w:val="000000" w:themeColor="text1"/>
          <w:sz w:val="24"/>
          <w:szCs w:val="24"/>
        </w:rPr>
        <w:t xml:space="preserve">NO. </w:t>
      </w:r>
      <w:r>
        <w:rPr>
          <w:rFonts w:ascii="Tahoma" w:hAnsi="Tahoma" w:cs="Tahoma"/>
          <w:b/>
          <w:color w:val="000000" w:themeColor="text1"/>
          <w:sz w:val="24"/>
          <w:szCs w:val="24"/>
          <w:u w:val="single"/>
        </w:rPr>
        <w:t xml:space="preserve">       -   2016</w:t>
      </w:r>
    </w:p>
    <w:p w:rsidR="00CA53F9" w:rsidRDefault="00CA53F9" w:rsidP="005247BF">
      <w:pPr>
        <w:pStyle w:val="NoSpacing1"/>
        <w:tabs>
          <w:tab w:val="left" w:pos="1080"/>
        </w:tabs>
        <w:jc w:val="both"/>
        <w:rPr>
          <w:rFonts w:ascii="Tahoma" w:hAnsi="Tahoma" w:cs="Tahoma"/>
          <w:b/>
          <w:color w:val="000000" w:themeColor="text1"/>
          <w:sz w:val="24"/>
          <w:szCs w:val="24"/>
        </w:rPr>
      </w:pP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NoSpacing1"/>
        <w:tabs>
          <w:tab w:val="left" w:pos="1080"/>
        </w:tabs>
        <w:ind w:left="1260" w:hanging="1260"/>
        <w:jc w:val="both"/>
        <w:rPr>
          <w:rFonts w:ascii="Tahoma" w:hAnsi="Tahoma" w:cs="Tahoma"/>
          <w:b/>
          <w:color w:val="000000" w:themeColor="text1"/>
          <w:sz w:val="24"/>
          <w:szCs w:val="24"/>
        </w:rPr>
      </w:pPr>
      <w:r>
        <w:rPr>
          <w:rFonts w:ascii="Tahoma" w:hAnsi="Tahoma" w:cs="Tahoma"/>
          <w:b/>
          <w:color w:val="000000" w:themeColor="text1"/>
          <w:sz w:val="24"/>
          <w:szCs w:val="24"/>
        </w:rPr>
        <w:t xml:space="preserve">SUBJECT: CUSTOMS BONDED WAREHOUSES AND CUSTOMS </w:t>
      </w:r>
      <w:r w:rsidR="00A2202A">
        <w:rPr>
          <w:rFonts w:ascii="Tahoma" w:hAnsi="Tahoma" w:cs="Tahoma"/>
          <w:b/>
          <w:color w:val="000000" w:themeColor="text1"/>
          <w:sz w:val="24"/>
          <w:szCs w:val="24"/>
        </w:rPr>
        <w:t>F</w:t>
      </w:r>
      <w:r>
        <w:rPr>
          <w:rFonts w:ascii="Tahoma" w:hAnsi="Tahoma" w:cs="Tahoma"/>
          <w:b/>
          <w:color w:val="000000" w:themeColor="text1"/>
          <w:sz w:val="24"/>
          <w:szCs w:val="24"/>
        </w:rPr>
        <w:t>ACILITIES AND WAREHOUSES</w:t>
      </w:r>
    </w:p>
    <w:p w:rsidR="008A7E17" w:rsidRDefault="008A7E17" w:rsidP="005247BF">
      <w:pPr>
        <w:pStyle w:val="NoSpacing1"/>
        <w:pBdr>
          <w:bottom w:val="single" w:sz="6" w:space="1" w:color="auto"/>
        </w:pBdr>
        <w:tabs>
          <w:tab w:val="left" w:pos="1080"/>
        </w:tabs>
        <w:jc w:val="both"/>
        <w:rPr>
          <w:rFonts w:ascii="Tahoma" w:hAnsi="Tahoma" w:cs="Tahoma"/>
          <w:b/>
          <w:color w:val="000000" w:themeColor="text1"/>
          <w:sz w:val="24"/>
          <w:szCs w:val="24"/>
        </w:rPr>
      </w:pP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NoSpacing1"/>
        <w:tabs>
          <w:tab w:val="left" w:pos="1080"/>
        </w:tabs>
        <w:jc w:val="both"/>
        <w:rPr>
          <w:rFonts w:ascii="Tahoma" w:hAnsi="Tahoma" w:cs="Tahoma"/>
          <w:b/>
          <w:color w:val="000000" w:themeColor="text1"/>
          <w:sz w:val="24"/>
          <w:szCs w:val="24"/>
          <w:u w:val="single"/>
        </w:rPr>
      </w:pPr>
      <w:r>
        <w:rPr>
          <w:rFonts w:ascii="Tahoma" w:hAnsi="Tahoma" w:cs="Tahoma"/>
          <w:b/>
          <w:color w:val="000000" w:themeColor="text1"/>
          <w:sz w:val="24"/>
          <w:szCs w:val="24"/>
          <w:u w:val="single"/>
        </w:rPr>
        <w:t>Introduction</w:t>
      </w:r>
      <w:r>
        <w:rPr>
          <w:rFonts w:ascii="Tahoma" w:hAnsi="Tahoma" w:cs="Tahoma"/>
          <w:b/>
          <w:color w:val="000000" w:themeColor="text1"/>
          <w:sz w:val="24"/>
          <w:szCs w:val="24"/>
        </w:rPr>
        <w:t>.</w:t>
      </w:r>
      <w:r>
        <w:rPr>
          <w:rFonts w:ascii="Tahoma" w:hAnsi="Tahoma" w:cs="Tahoma"/>
          <w:color w:val="000000" w:themeColor="text1"/>
          <w:sz w:val="24"/>
          <w:szCs w:val="24"/>
        </w:rPr>
        <w:t xml:space="preserve"> This CAO implements </w:t>
      </w:r>
      <w:r w:rsidR="001E703F">
        <w:rPr>
          <w:rFonts w:ascii="Tahoma" w:hAnsi="Tahoma" w:cs="Tahoma"/>
          <w:color w:val="000000" w:themeColor="text1"/>
          <w:sz w:val="24"/>
          <w:szCs w:val="24"/>
        </w:rPr>
        <w:t>Section 301, Chapter 1</w:t>
      </w:r>
      <w:r w:rsidR="004018BA">
        <w:rPr>
          <w:rFonts w:ascii="Tahoma" w:hAnsi="Tahoma" w:cs="Tahoma"/>
          <w:color w:val="000000" w:themeColor="text1"/>
          <w:sz w:val="24"/>
          <w:szCs w:val="24"/>
        </w:rPr>
        <w:t xml:space="preserve">; </w:t>
      </w:r>
      <w:r w:rsidR="00105B58">
        <w:rPr>
          <w:rFonts w:ascii="Tahoma" w:hAnsi="Tahoma" w:cs="Tahoma"/>
          <w:color w:val="000000" w:themeColor="text1"/>
          <w:sz w:val="24"/>
          <w:szCs w:val="24"/>
        </w:rPr>
        <w:t>Section 303,</w:t>
      </w:r>
      <w:r>
        <w:rPr>
          <w:rFonts w:ascii="Tahoma" w:hAnsi="Tahoma" w:cs="Tahoma"/>
          <w:color w:val="000000" w:themeColor="text1"/>
          <w:sz w:val="24"/>
          <w:szCs w:val="24"/>
        </w:rPr>
        <w:t>Chapter 2</w:t>
      </w:r>
      <w:r w:rsidR="00105B58">
        <w:rPr>
          <w:rFonts w:ascii="Tahoma" w:hAnsi="Tahoma" w:cs="Tahoma"/>
          <w:color w:val="000000" w:themeColor="text1"/>
          <w:sz w:val="24"/>
          <w:szCs w:val="24"/>
        </w:rPr>
        <w:t>, Title III, and</w:t>
      </w:r>
      <w:r>
        <w:rPr>
          <w:rFonts w:ascii="Tahoma" w:hAnsi="Tahoma" w:cs="Tahoma"/>
          <w:color w:val="000000" w:themeColor="text1"/>
          <w:sz w:val="24"/>
          <w:szCs w:val="24"/>
        </w:rPr>
        <w:t xml:space="preserve">  Sections 801 to 813, Chapter 2, Title VIII, in relation to Section 204  and other </w:t>
      </w:r>
      <w:r w:rsidR="007E053F">
        <w:rPr>
          <w:rFonts w:ascii="Tahoma" w:hAnsi="Tahoma" w:cs="Tahoma"/>
          <w:color w:val="000000" w:themeColor="text1"/>
          <w:sz w:val="24"/>
          <w:szCs w:val="24"/>
        </w:rPr>
        <w:t xml:space="preserve">relevant sections </w:t>
      </w:r>
      <w:r>
        <w:rPr>
          <w:rFonts w:ascii="Tahoma" w:hAnsi="Tahoma" w:cs="Tahoma"/>
          <w:color w:val="000000" w:themeColor="text1"/>
          <w:sz w:val="24"/>
          <w:szCs w:val="24"/>
        </w:rPr>
        <w:t>of Republic Act No. 10863</w:t>
      </w:r>
      <w:r w:rsidR="007E053F">
        <w:rPr>
          <w:rFonts w:ascii="Tahoma" w:hAnsi="Tahoma" w:cs="Tahoma"/>
          <w:color w:val="000000" w:themeColor="text1"/>
          <w:sz w:val="24"/>
          <w:szCs w:val="24"/>
        </w:rPr>
        <w:t xml:space="preserve">, </w:t>
      </w:r>
      <w:r>
        <w:rPr>
          <w:rFonts w:ascii="Tahoma" w:hAnsi="Tahoma" w:cs="Tahoma"/>
          <w:color w:val="000000" w:themeColor="text1"/>
          <w:sz w:val="24"/>
          <w:szCs w:val="24"/>
        </w:rPr>
        <w:t>otherwise known as the Customs Modernization and Tariff Act (CMTA).</w:t>
      </w:r>
    </w:p>
    <w:p w:rsidR="008A7E17" w:rsidRPr="005247BF" w:rsidRDefault="00670CEC" w:rsidP="005247BF">
      <w:pPr>
        <w:pStyle w:val="Heading1"/>
        <w:rPr>
          <w:b w:val="0"/>
        </w:rPr>
      </w:pPr>
      <w:r w:rsidRPr="005247BF">
        <w:rPr>
          <w:u w:val="single"/>
        </w:rPr>
        <w:t>Scope</w:t>
      </w:r>
      <w:r w:rsidRPr="00A3264D">
        <w:t>.</w:t>
      </w:r>
      <w:r w:rsidRPr="006B40E0">
        <w:t xml:space="preserve"> </w:t>
      </w:r>
      <w:r w:rsidRPr="005247BF">
        <w:rPr>
          <w:b w:val="0"/>
        </w:rPr>
        <w:t>This CAO applies to all types of Customs Bonded Warehouses (CBWs) and Customs Facilities and Warehouses (CFWs) listed in the CMTA and those that may be created by the Secretary of Finance, upon the recommendation of the Commissioner pursuant to Section 803 of the CMTA.</w:t>
      </w:r>
    </w:p>
    <w:p w:rsidR="004C5C36" w:rsidRPr="005247BF" w:rsidRDefault="00670CEC" w:rsidP="005247BF">
      <w:pPr>
        <w:pStyle w:val="Heading1"/>
      </w:pPr>
      <w:r w:rsidRPr="005247BF">
        <w:rPr>
          <w:u w:val="single"/>
        </w:rPr>
        <w:t>Objectives</w:t>
      </w:r>
      <w:r w:rsidRPr="005247BF">
        <w:t>.</w:t>
      </w:r>
    </w:p>
    <w:p w:rsidR="00684066" w:rsidRPr="00684066" w:rsidRDefault="00684066" w:rsidP="005247BF">
      <w:pPr>
        <w:spacing w:after="0" w:line="240" w:lineRule="auto"/>
      </w:pPr>
    </w:p>
    <w:p w:rsidR="008A7E17" w:rsidRPr="005247BF" w:rsidRDefault="00C80F12" w:rsidP="005247BF">
      <w:pPr>
        <w:pStyle w:val="Heading2"/>
        <w:spacing w:after="240"/>
      </w:pPr>
      <w:r w:rsidRPr="00BF4B2A">
        <w:t xml:space="preserve"> </w:t>
      </w:r>
      <w:r w:rsidR="00670CEC" w:rsidRPr="005247BF">
        <w:t>To</w:t>
      </w:r>
      <w:r w:rsidR="00670CEC" w:rsidRPr="00BF4B2A">
        <w:t xml:space="preserve"> provide the guidelines for the establishment, operation, supervision</w:t>
      </w:r>
      <w:proofErr w:type="gramStart"/>
      <w:r w:rsidR="006F77D7">
        <w:t xml:space="preserve">, </w:t>
      </w:r>
      <w:r w:rsidR="004C5C36" w:rsidRPr="00BF4B2A">
        <w:t xml:space="preserve"> </w:t>
      </w:r>
      <w:r w:rsidR="00FA7CB3" w:rsidRPr="00EB0364">
        <w:t>and</w:t>
      </w:r>
      <w:proofErr w:type="gramEnd"/>
      <w:r w:rsidR="006B40E0" w:rsidRPr="00EB0364">
        <w:t xml:space="preserve"> </w:t>
      </w:r>
      <w:r w:rsidR="00FA7CB3" w:rsidRPr="00724334">
        <w:t>control</w:t>
      </w:r>
      <w:r w:rsidR="00670CEC" w:rsidRPr="00724334">
        <w:t xml:space="preserve"> of CBWs and CFWs.</w:t>
      </w:r>
    </w:p>
    <w:p w:rsidR="008A7E17" w:rsidRDefault="00670CEC" w:rsidP="005247BF">
      <w:pPr>
        <w:pStyle w:val="Heading2"/>
        <w:spacing w:after="240"/>
        <w:rPr>
          <w:b/>
        </w:rPr>
      </w:pPr>
      <w:r>
        <w:t>To protect revenue through the institution of safeguard and control measures over CBWs and CFWs.</w:t>
      </w:r>
    </w:p>
    <w:p w:rsidR="008A7E17" w:rsidRDefault="00670CEC" w:rsidP="005247BF">
      <w:pPr>
        <w:pStyle w:val="Heading2"/>
        <w:spacing w:after="240"/>
      </w:pPr>
      <w:r>
        <w:t>To define the rights and corresponding obligations of operators of CBWs and CFWs.</w:t>
      </w:r>
    </w:p>
    <w:p w:rsidR="008A7E17" w:rsidRDefault="00670CEC" w:rsidP="005247BF">
      <w:pPr>
        <w:pStyle w:val="Heading2"/>
        <w:spacing w:after="240"/>
      </w:pPr>
      <w:r>
        <w:t>To enhance the level of compliance of CBW and CFW operators with customs warehousing laws and regulations and provide penalties for non-compliance.</w:t>
      </w:r>
    </w:p>
    <w:p w:rsidR="0003636E" w:rsidRPr="005247BF" w:rsidRDefault="00670CEC" w:rsidP="005247BF">
      <w:pPr>
        <w:pStyle w:val="Heading2"/>
        <w:spacing w:before="240"/>
        <w:rPr>
          <w:b/>
        </w:rPr>
      </w:pPr>
      <w:r w:rsidRPr="00BF4B2A">
        <w:t>To utilize Information and Communications Technology (ICT) in the management and control of CBWs and CFWs as provided for in Section 109 of CMTA.</w:t>
      </w:r>
    </w:p>
    <w:p w:rsidR="0003636E" w:rsidRPr="005247BF" w:rsidRDefault="0003636E" w:rsidP="005247BF">
      <w:pPr>
        <w:pStyle w:val="Heading1"/>
        <w:rPr>
          <w:rFonts w:cs="Tahoma"/>
          <w:szCs w:val="24"/>
        </w:rPr>
      </w:pPr>
      <w:r w:rsidRPr="005247BF">
        <w:rPr>
          <w:u w:val="single"/>
        </w:rPr>
        <w:t>Definition of Terms</w:t>
      </w:r>
      <w:r w:rsidRPr="00A3264D">
        <w:t>.</w:t>
      </w:r>
      <w:r w:rsidRPr="00A61DED">
        <w:t xml:space="preserve"> </w:t>
      </w:r>
      <w:r w:rsidRPr="005247BF">
        <w:rPr>
          <w:b w:val="0"/>
        </w:rPr>
        <w:t>For purposes of this CAO, the following terms are defined accordingly:</w:t>
      </w:r>
    </w:p>
    <w:p w:rsidR="00787A9B" w:rsidRPr="005247BF" w:rsidRDefault="00787A9B" w:rsidP="005247BF">
      <w:pPr>
        <w:pStyle w:val="Heading1"/>
        <w:numPr>
          <w:ilvl w:val="0"/>
          <w:numId w:val="0"/>
        </w:numPr>
        <w:rPr>
          <w:b w:val="0"/>
        </w:rPr>
      </w:pPr>
    </w:p>
    <w:p w:rsidR="00126199" w:rsidRDefault="00670CEC" w:rsidP="005247BF">
      <w:pPr>
        <w:pStyle w:val="Heading2"/>
      </w:pPr>
      <w:r w:rsidRPr="007E053F">
        <w:rPr>
          <w:b/>
        </w:rPr>
        <w:t>Authority to Operate</w:t>
      </w:r>
      <w:r w:rsidR="00787A9B">
        <w:rPr>
          <w:b/>
        </w:rPr>
        <w:t xml:space="preserve"> -</w:t>
      </w:r>
      <w:r w:rsidRPr="007E053F">
        <w:t xml:space="preserve"> </w:t>
      </w:r>
      <w:r>
        <w:t xml:space="preserve">is the authority given by the Bureau allowing persons, natural or juridical, to establish and operate a </w:t>
      </w:r>
      <w:r w:rsidR="00C3225A">
        <w:t>CBW or CFW.</w:t>
      </w:r>
    </w:p>
    <w:p w:rsidR="008A7E17" w:rsidRDefault="008A7E17" w:rsidP="005247BF">
      <w:pPr>
        <w:pStyle w:val="Heading2"/>
        <w:numPr>
          <w:ilvl w:val="0"/>
          <w:numId w:val="0"/>
        </w:numPr>
        <w:ind w:left="1620"/>
      </w:pPr>
    </w:p>
    <w:p w:rsidR="00787A9B" w:rsidRPr="005247BF" w:rsidRDefault="002F7172" w:rsidP="005247BF">
      <w:pPr>
        <w:pStyle w:val="Heading2"/>
        <w:spacing w:after="240"/>
        <w:rPr>
          <w:color w:val="FF0000"/>
          <w:lang w:val="en-US" w:eastAsia="en-PH"/>
        </w:rPr>
      </w:pPr>
      <w:r w:rsidRPr="007E053F">
        <w:rPr>
          <w:b/>
          <w:lang w:eastAsia="en-PH"/>
        </w:rPr>
        <w:t>Authority to Transfer</w:t>
      </w:r>
      <w:r w:rsidR="00F10F63">
        <w:rPr>
          <w:b/>
          <w:lang w:eastAsia="en-PH"/>
        </w:rPr>
        <w:t xml:space="preserve"> -</w:t>
      </w:r>
      <w:r w:rsidRPr="007E053F">
        <w:rPr>
          <w:lang w:eastAsia="en-PH"/>
        </w:rPr>
        <w:t xml:space="preserve"> </w:t>
      </w:r>
      <w:r>
        <w:rPr>
          <w:lang w:eastAsia="en-PH"/>
        </w:rPr>
        <w:t xml:space="preserve">is a document issued by the District Collector to a CBW allowing transfer or sale of imported raw materials, semi-finished </w:t>
      </w:r>
      <w:r>
        <w:rPr>
          <w:lang w:eastAsia="en-PH"/>
        </w:rPr>
        <w:lastRenderedPageBreak/>
        <w:t>products, or finished products to another CBW, member, client-end-user, subcontractor, or Freeport Zone locator for subsequent export.</w:t>
      </w:r>
      <w:r>
        <w:rPr>
          <w:lang w:val="en-US" w:eastAsia="en-PH"/>
        </w:rPr>
        <w:t xml:space="preserve"> </w:t>
      </w:r>
    </w:p>
    <w:p w:rsidR="00787A9B" w:rsidRPr="00EB0364" w:rsidRDefault="00670CEC" w:rsidP="005247BF">
      <w:pPr>
        <w:pStyle w:val="Heading2"/>
        <w:spacing w:after="240"/>
        <w:rPr>
          <w:color w:val="FF0000"/>
        </w:rPr>
      </w:pPr>
      <w:r w:rsidRPr="007E053F">
        <w:rPr>
          <w:b/>
        </w:rPr>
        <w:t>Certificate of Authority</w:t>
      </w:r>
      <w:r w:rsidRPr="007E053F">
        <w:t xml:space="preserve"> </w:t>
      </w:r>
      <w:r w:rsidR="00787A9B">
        <w:t xml:space="preserve">- </w:t>
      </w:r>
      <w:r>
        <w:t xml:space="preserve">is </w:t>
      </w:r>
      <w:r w:rsidR="00F10F63">
        <w:t xml:space="preserve">a </w:t>
      </w:r>
      <w:r>
        <w:t xml:space="preserve">document issued by the Bureau to persons, natural or juridical, authorized to operate a CBW </w:t>
      </w:r>
      <w:r w:rsidR="00302885">
        <w:t xml:space="preserve">or </w:t>
      </w:r>
      <w:r>
        <w:t>CFW.</w:t>
      </w:r>
    </w:p>
    <w:p w:rsidR="00787A9B" w:rsidRPr="005247BF" w:rsidRDefault="002F7172" w:rsidP="005247BF">
      <w:pPr>
        <w:pStyle w:val="Heading2"/>
        <w:spacing w:after="240"/>
      </w:pPr>
      <w:r w:rsidRPr="007E053F">
        <w:rPr>
          <w:b/>
          <w:lang w:eastAsia="en-PH"/>
        </w:rPr>
        <w:t>Certificate of Identification</w:t>
      </w:r>
      <w:r w:rsidRPr="007E053F">
        <w:rPr>
          <w:lang w:eastAsia="en-PH"/>
        </w:rPr>
        <w:t xml:space="preserve"> </w:t>
      </w:r>
      <w:r w:rsidR="00787A9B">
        <w:rPr>
          <w:lang w:eastAsia="en-PH"/>
        </w:rPr>
        <w:t xml:space="preserve">- </w:t>
      </w:r>
      <w:r w:rsidRPr="005247BF">
        <w:rPr>
          <w:lang w:eastAsia="en-PH"/>
        </w:rPr>
        <w:t xml:space="preserve">is </w:t>
      </w:r>
      <w:r w:rsidRPr="005247BF">
        <w:rPr>
          <w:lang w:val="en-US" w:eastAsia="en-PH"/>
        </w:rPr>
        <w:t xml:space="preserve">a </w:t>
      </w:r>
      <w:r w:rsidRPr="005247BF">
        <w:rPr>
          <w:lang w:eastAsia="en-PH"/>
        </w:rPr>
        <w:t xml:space="preserve">document certifying that the finished products to be exported is from a particular warehousing entry, and also to determine whether or not a particular entry is partially or fully </w:t>
      </w:r>
      <w:proofErr w:type="gramStart"/>
      <w:r w:rsidRPr="005247BF">
        <w:rPr>
          <w:lang w:eastAsia="en-PH"/>
        </w:rPr>
        <w:t>consumed.</w:t>
      </w:r>
      <w:proofErr w:type="gramEnd"/>
    </w:p>
    <w:p w:rsidR="0044392F" w:rsidRDefault="00670CEC" w:rsidP="005247BF">
      <w:pPr>
        <w:pStyle w:val="Heading2"/>
        <w:spacing w:after="240"/>
        <w:rPr>
          <w:b/>
        </w:rPr>
      </w:pPr>
      <w:r w:rsidRPr="007E053F">
        <w:rPr>
          <w:b/>
          <w:lang w:eastAsia="en-PH"/>
        </w:rPr>
        <w:t>Customs Territory</w:t>
      </w:r>
      <w:r>
        <w:rPr>
          <w:b/>
          <w:lang w:eastAsia="en-PH"/>
        </w:rPr>
        <w:t xml:space="preserve"> </w:t>
      </w:r>
      <w:r w:rsidR="00787A9B" w:rsidRPr="005247BF">
        <w:rPr>
          <w:lang w:eastAsia="en-PH"/>
        </w:rPr>
        <w:t>-</w:t>
      </w:r>
      <w:r w:rsidR="00787A9B">
        <w:rPr>
          <w:b/>
          <w:lang w:eastAsia="en-PH"/>
        </w:rPr>
        <w:t xml:space="preserve"> </w:t>
      </w:r>
      <w:r>
        <w:rPr>
          <w:lang w:eastAsia="en-PH"/>
        </w:rPr>
        <w:t>refers to areas in the Philippines where customs and tariff laws may be enforced.</w:t>
      </w:r>
      <w:r w:rsidR="00302885">
        <w:rPr>
          <w:rStyle w:val="FootnoteReference"/>
          <w:lang w:val="en-US" w:eastAsia="en-PH"/>
        </w:rPr>
        <w:footnoteReference w:id="1"/>
      </w:r>
      <w:r>
        <w:rPr>
          <w:lang w:val="en-US" w:eastAsia="en-PH"/>
        </w:rPr>
        <w:t xml:space="preserve"> </w:t>
      </w:r>
    </w:p>
    <w:p w:rsidR="00787A9B" w:rsidRPr="005247BF" w:rsidRDefault="00670CEC" w:rsidP="005247BF">
      <w:pPr>
        <w:pStyle w:val="Heading2"/>
        <w:spacing w:after="240"/>
      </w:pPr>
      <w:r w:rsidRPr="007E053F">
        <w:rPr>
          <w:b/>
        </w:rPr>
        <w:t>Constructive Exportation</w:t>
      </w:r>
      <w:r w:rsidRPr="007E053F">
        <w:t xml:space="preserve"> - </w:t>
      </w:r>
      <w:r>
        <w:t>involves the sale or any other mode of conveyance and delivery of raw materials, finished, or semi-finished products from a CBW to a Customs Manufacturing Bonded Warehouse</w:t>
      </w:r>
      <w:r w:rsidR="005F512A">
        <w:t xml:space="preserve"> </w:t>
      </w:r>
      <w:r>
        <w:t xml:space="preserve">(CMBW), PEZA/Economic Zone, </w:t>
      </w:r>
      <w:proofErr w:type="gramStart"/>
      <w:r>
        <w:t>Freeport</w:t>
      </w:r>
      <w:proofErr w:type="gramEnd"/>
      <w:r>
        <w:t>.</w:t>
      </w:r>
      <w:r w:rsidR="00F961D2">
        <w:rPr>
          <w:rStyle w:val="FootnoteReference"/>
        </w:rPr>
        <w:footnoteReference w:id="2"/>
      </w:r>
    </w:p>
    <w:p w:rsidR="00F961D2" w:rsidRPr="005247BF" w:rsidRDefault="00670CEC" w:rsidP="005247BF">
      <w:pPr>
        <w:pStyle w:val="Heading2"/>
        <w:spacing w:after="240"/>
      </w:pPr>
      <w:r w:rsidRPr="007E053F">
        <w:rPr>
          <w:b/>
        </w:rPr>
        <w:t>Constructive Importation</w:t>
      </w:r>
      <w:r w:rsidRPr="007E053F">
        <w:t xml:space="preserve"> - </w:t>
      </w:r>
      <w:r>
        <w:t xml:space="preserve">involves the sale or any other mode of conveyance and delivery of raw materials, finished, or semi-finished products from a CMBW, PEZA/Economic Zone, </w:t>
      </w:r>
      <w:proofErr w:type="gramStart"/>
      <w:r>
        <w:t>Freeport</w:t>
      </w:r>
      <w:proofErr w:type="gramEnd"/>
      <w:r>
        <w:t xml:space="preserve"> to a CBW.</w:t>
      </w:r>
      <w:r w:rsidR="00F961D2">
        <w:rPr>
          <w:rStyle w:val="FootnoteReference"/>
        </w:rPr>
        <w:footnoteReference w:id="3"/>
      </w:r>
    </w:p>
    <w:p w:rsidR="00787A9B" w:rsidRPr="005247BF" w:rsidRDefault="00F961D2" w:rsidP="005247BF">
      <w:pPr>
        <w:pStyle w:val="Heading2"/>
        <w:spacing w:after="240"/>
      </w:pPr>
      <w:r w:rsidRPr="007E053F">
        <w:rPr>
          <w:b/>
          <w:lang w:eastAsia="en-PH"/>
        </w:rPr>
        <w:t xml:space="preserve"> </w:t>
      </w:r>
      <w:r w:rsidR="002F7172" w:rsidRPr="007E053F">
        <w:rPr>
          <w:b/>
          <w:lang w:eastAsia="en-PH"/>
        </w:rPr>
        <w:t>Diversion</w:t>
      </w:r>
      <w:r w:rsidR="002F7172" w:rsidRPr="007E053F">
        <w:rPr>
          <w:lang w:eastAsia="en-PH"/>
        </w:rPr>
        <w:t xml:space="preserve"> </w:t>
      </w:r>
      <w:r w:rsidR="00F10F63">
        <w:rPr>
          <w:lang w:eastAsia="en-PH"/>
        </w:rPr>
        <w:t xml:space="preserve">- </w:t>
      </w:r>
      <w:r w:rsidR="002F7172">
        <w:t xml:space="preserve">is an act of bringing bonded articles to some place other than its intended destination without prior authority from </w:t>
      </w:r>
      <w:r w:rsidR="007162BA">
        <w:t>the Bureau</w:t>
      </w:r>
      <w:r w:rsidR="002F7172">
        <w:t xml:space="preserve">. </w:t>
      </w:r>
    </w:p>
    <w:p w:rsidR="00787A9B" w:rsidRPr="002D1E67" w:rsidRDefault="002F7172" w:rsidP="005247BF">
      <w:pPr>
        <w:pStyle w:val="Heading2"/>
        <w:spacing w:after="240"/>
        <w:rPr>
          <w:color w:val="FF0000"/>
          <w:sz w:val="20"/>
          <w:szCs w:val="20"/>
        </w:rPr>
      </w:pPr>
      <w:r w:rsidRPr="007E053F">
        <w:rPr>
          <w:b/>
          <w:lang w:eastAsia="en-PH"/>
        </w:rPr>
        <w:t>Entry</w:t>
      </w:r>
      <w:r w:rsidR="00787A9B">
        <w:rPr>
          <w:b/>
          <w:lang w:eastAsia="en-PH"/>
        </w:rPr>
        <w:t xml:space="preserve"> </w:t>
      </w:r>
      <w:r w:rsidRPr="002F52D2">
        <w:rPr>
          <w:lang w:eastAsia="en-PH"/>
        </w:rPr>
        <w:t>-</w:t>
      </w:r>
      <w:r>
        <w:rPr>
          <w:b/>
          <w:lang w:eastAsia="en-PH"/>
        </w:rPr>
        <w:t xml:space="preserve"> </w:t>
      </w:r>
      <w:r>
        <w:rPr>
          <w:lang w:eastAsia="en-PH"/>
        </w:rPr>
        <w:t xml:space="preserve">refers to the act, documentation, and process of bringing imported goods into the customs territory, including goods coming from </w:t>
      </w:r>
      <w:r w:rsidR="003D4AC5">
        <w:rPr>
          <w:lang w:eastAsia="en-PH"/>
        </w:rPr>
        <w:t xml:space="preserve">the </w:t>
      </w:r>
      <w:r>
        <w:rPr>
          <w:lang w:eastAsia="en-PH"/>
        </w:rPr>
        <w:t>free zones</w:t>
      </w:r>
      <w:r>
        <w:rPr>
          <w:lang w:val="en-US" w:eastAsia="en-PH"/>
        </w:rPr>
        <w:t>.</w:t>
      </w:r>
      <w:r w:rsidR="00F961D2">
        <w:rPr>
          <w:rStyle w:val="FootnoteReference"/>
          <w:lang w:val="en-US" w:eastAsia="en-PH"/>
        </w:rPr>
        <w:footnoteReference w:id="4"/>
      </w:r>
      <w:r>
        <w:rPr>
          <w:lang w:val="en-US" w:eastAsia="en-PH"/>
        </w:rPr>
        <w:t xml:space="preserve"> </w:t>
      </w:r>
    </w:p>
    <w:p w:rsidR="00787A9B" w:rsidRPr="002D1E67" w:rsidRDefault="002F7172" w:rsidP="005247BF">
      <w:pPr>
        <w:pStyle w:val="Heading2"/>
        <w:spacing w:after="240"/>
        <w:rPr>
          <w:color w:val="FF0000"/>
          <w:sz w:val="20"/>
          <w:szCs w:val="20"/>
        </w:rPr>
      </w:pPr>
      <w:r w:rsidRPr="007E053F">
        <w:rPr>
          <w:b/>
          <w:lang w:eastAsia="en-PH"/>
        </w:rPr>
        <w:t>Exportation</w:t>
      </w:r>
      <w:r>
        <w:rPr>
          <w:b/>
          <w:lang w:eastAsia="en-PH"/>
        </w:rPr>
        <w:t xml:space="preserve"> </w:t>
      </w:r>
      <w:r>
        <w:rPr>
          <w:lang w:eastAsia="en-PH"/>
        </w:rPr>
        <w:t>- refers to the act, documentation, and process of bringing goods out of Philippine territory.</w:t>
      </w:r>
      <w:r>
        <w:rPr>
          <w:lang w:val="en-US" w:eastAsia="en-PH"/>
        </w:rPr>
        <w:t xml:space="preserve"> </w:t>
      </w:r>
      <w:r w:rsidR="00F961D2">
        <w:rPr>
          <w:rStyle w:val="FootnoteReference"/>
          <w:lang w:val="en-US" w:eastAsia="en-PH"/>
        </w:rPr>
        <w:footnoteReference w:id="5"/>
      </w:r>
    </w:p>
    <w:p w:rsidR="002F7172" w:rsidRDefault="002F7172" w:rsidP="005247BF">
      <w:pPr>
        <w:pStyle w:val="Heading2"/>
        <w:spacing w:after="240"/>
        <w:rPr>
          <w:color w:val="FF0000"/>
        </w:rPr>
      </w:pPr>
      <w:r>
        <w:rPr>
          <w:b/>
        </w:rPr>
        <w:t xml:space="preserve">Extension Warehouse </w:t>
      </w:r>
      <w:r w:rsidR="00787A9B">
        <w:t xml:space="preserve">- </w:t>
      </w:r>
      <w:r>
        <w:t xml:space="preserve">is a separate </w:t>
      </w:r>
      <w:r w:rsidR="00AD6551">
        <w:t>CBW</w:t>
      </w:r>
      <w:r>
        <w:t xml:space="preserve"> facility granted by the </w:t>
      </w:r>
      <w:r w:rsidR="004A28B8">
        <w:t>Bureau</w:t>
      </w:r>
      <w:r>
        <w:t xml:space="preserve"> to an already authorized CBW operator when the current warehousing facilities are no longer sufficient to fully service the volume of its operations. </w:t>
      </w:r>
      <w:r w:rsidR="00D91AC1">
        <w:rPr>
          <w:rStyle w:val="FootnoteReference"/>
        </w:rPr>
        <w:footnoteReference w:id="6"/>
      </w:r>
    </w:p>
    <w:p w:rsidR="002F7172" w:rsidRPr="005247BF" w:rsidRDefault="002F7172">
      <w:pPr>
        <w:pStyle w:val="Heading2"/>
        <w:rPr>
          <w:b/>
          <w:color w:val="FF0000"/>
        </w:rPr>
      </w:pPr>
      <w:r w:rsidRPr="007E053F">
        <w:rPr>
          <w:b/>
          <w:lang w:eastAsia="en-PH"/>
        </w:rPr>
        <w:t>Free Zone</w:t>
      </w:r>
      <w:r w:rsidR="00787A9B">
        <w:rPr>
          <w:b/>
          <w:lang w:eastAsia="en-PH"/>
        </w:rPr>
        <w:t xml:space="preserve"> </w:t>
      </w:r>
      <w:r w:rsidR="00787A9B" w:rsidRPr="005247BF">
        <w:rPr>
          <w:lang w:eastAsia="en-PH"/>
        </w:rPr>
        <w:t>-</w:t>
      </w:r>
      <w:r>
        <w:rPr>
          <w:lang w:eastAsia="en-PH"/>
        </w:rPr>
        <w:t xml:space="preserve"> refers to special economic zones registered with the Philippine Economic Zone Authority (PEZA) under Republic Act No. 7916, </w:t>
      </w:r>
      <w:r>
        <w:rPr>
          <w:lang w:eastAsia="en-PH"/>
        </w:rPr>
        <w:lastRenderedPageBreak/>
        <w:t xml:space="preserve">as amended, duly chartered or legislated special economic zones and </w:t>
      </w:r>
      <w:proofErr w:type="spellStart"/>
      <w:r>
        <w:rPr>
          <w:lang w:eastAsia="en-PH"/>
        </w:rPr>
        <w:t>freeports</w:t>
      </w:r>
      <w:proofErr w:type="spellEnd"/>
      <w:r>
        <w:rPr>
          <w:lang w:eastAsia="en-PH"/>
        </w:rPr>
        <w:t xml:space="preserve"> such as Clark Freeport Zone; </w:t>
      </w:r>
      <w:proofErr w:type="spellStart"/>
      <w:r>
        <w:rPr>
          <w:lang w:eastAsia="en-PH"/>
        </w:rPr>
        <w:t>Poro</w:t>
      </w:r>
      <w:proofErr w:type="spellEnd"/>
      <w:r>
        <w:rPr>
          <w:lang w:eastAsia="en-PH"/>
        </w:rPr>
        <w:t xml:space="preserve"> Point Freeport Zone; John Hay Special Economic Zone and Subic Bay Freeport Zone under Republic Act No. 7227, as amended by Republic Act No. 9400; the Aurora Special Economic Zone under Republic Act No. 9490, as amended; the Cagayan Special Economic Zone and Freeport under Republic Act No. 7922; the Zamboanga City Special Economic Zone under Republic Act No. 7903; the Freeport Area of Bataan under Republic Act No. 9728; and such other </w:t>
      </w:r>
      <w:proofErr w:type="spellStart"/>
      <w:r>
        <w:rPr>
          <w:lang w:eastAsia="en-PH"/>
        </w:rPr>
        <w:t>freeports</w:t>
      </w:r>
      <w:proofErr w:type="spellEnd"/>
      <w:r>
        <w:rPr>
          <w:lang w:eastAsia="en-PH"/>
        </w:rPr>
        <w:t xml:space="preserve"> as estab</w:t>
      </w:r>
      <w:r w:rsidR="00873DAC">
        <w:rPr>
          <w:lang w:eastAsia="en-PH"/>
        </w:rPr>
        <w:t>lished or may be created by law.</w:t>
      </w:r>
      <w:r w:rsidR="00D91AC1">
        <w:rPr>
          <w:rStyle w:val="FootnoteReference"/>
          <w:lang w:eastAsia="en-PH"/>
        </w:rPr>
        <w:footnoteReference w:id="7"/>
      </w:r>
      <w:r w:rsidRPr="007E053F">
        <w:rPr>
          <w:color w:val="FF0000"/>
          <w:lang w:val="en-US" w:eastAsia="en-PH"/>
        </w:rPr>
        <w:t xml:space="preserve"> </w:t>
      </w:r>
    </w:p>
    <w:p w:rsidR="002F7172" w:rsidRPr="00EB0364" w:rsidRDefault="002F7172" w:rsidP="005247BF">
      <w:pPr>
        <w:pStyle w:val="Heading2"/>
        <w:numPr>
          <w:ilvl w:val="0"/>
          <w:numId w:val="0"/>
        </w:numPr>
        <w:ind w:left="1620" w:hanging="630"/>
        <w:rPr>
          <w:lang w:val="en-US"/>
        </w:rPr>
      </w:pPr>
    </w:p>
    <w:p w:rsidR="008A7E17" w:rsidRPr="007E053F" w:rsidRDefault="00670CEC" w:rsidP="005247BF">
      <w:pPr>
        <w:pStyle w:val="Heading2"/>
        <w:rPr>
          <w:b/>
        </w:rPr>
      </w:pPr>
      <w:r w:rsidRPr="007E053F">
        <w:rPr>
          <w:b/>
        </w:rPr>
        <w:t>Formula of Manufacture</w:t>
      </w:r>
      <w:r w:rsidRPr="007E053F">
        <w:t xml:space="preserve"> </w:t>
      </w:r>
      <w:r w:rsidR="00746FAA">
        <w:t xml:space="preserve">- </w:t>
      </w:r>
      <w:r>
        <w:t xml:space="preserve">refers to the formula of conversion issued by </w:t>
      </w:r>
      <w:r w:rsidR="00D81CAF">
        <w:t xml:space="preserve">the </w:t>
      </w:r>
      <w:r>
        <w:t>Industrial Technology and Development Institute (ITDI) to the</w:t>
      </w:r>
      <w:r w:rsidR="005C5258">
        <w:t xml:space="preserve"> CBW</w:t>
      </w:r>
      <w:r>
        <w:t xml:space="preserve"> operator, determining the raw material usage and wastages of a particular finished product for export and subsequent liquidation. </w:t>
      </w:r>
    </w:p>
    <w:p w:rsidR="009F3838" w:rsidRPr="005247BF" w:rsidRDefault="009F3838" w:rsidP="005247BF">
      <w:pPr>
        <w:pStyle w:val="Heading2"/>
        <w:numPr>
          <w:ilvl w:val="0"/>
          <w:numId w:val="0"/>
        </w:numPr>
        <w:ind w:left="1620" w:hanging="630"/>
        <w:rPr>
          <w:b/>
        </w:rPr>
      </w:pPr>
    </w:p>
    <w:p w:rsidR="002D1E67" w:rsidRPr="005247BF" w:rsidRDefault="00670CEC" w:rsidP="005247BF">
      <w:pPr>
        <w:pStyle w:val="Heading2"/>
        <w:spacing w:after="240"/>
        <w:rPr>
          <w:color w:val="FF0000"/>
          <w:lang w:val="en-US" w:eastAsia="en-PH"/>
        </w:rPr>
      </w:pPr>
      <w:r w:rsidRPr="00BF4B2A">
        <w:rPr>
          <w:b/>
          <w:lang w:eastAsia="en-PH"/>
        </w:rPr>
        <w:t>Goods</w:t>
      </w:r>
      <w:r w:rsidRPr="007E053F">
        <w:rPr>
          <w:lang w:eastAsia="en-PH"/>
        </w:rPr>
        <w:t xml:space="preserve"> </w:t>
      </w:r>
      <w:r w:rsidR="00787A9B">
        <w:rPr>
          <w:lang w:eastAsia="en-PH"/>
        </w:rPr>
        <w:t xml:space="preserve">- </w:t>
      </w:r>
      <w:r>
        <w:rPr>
          <w:lang w:eastAsia="en-PH"/>
        </w:rPr>
        <w:t>refers to articles, wares, merchandise and any other items which are subject of importation or exportation</w:t>
      </w:r>
      <w:r w:rsidR="00D91AC1">
        <w:rPr>
          <w:lang w:eastAsia="en-PH"/>
        </w:rPr>
        <w:t>.</w:t>
      </w:r>
      <w:r w:rsidR="00D91AC1">
        <w:rPr>
          <w:rStyle w:val="FootnoteReference"/>
          <w:lang w:eastAsia="en-PH"/>
        </w:rPr>
        <w:footnoteReference w:id="8"/>
      </w:r>
      <w:r w:rsidRPr="00BF4B2A">
        <w:rPr>
          <w:lang w:val="en-US" w:eastAsia="en-PH"/>
        </w:rPr>
        <w:t xml:space="preserve"> </w:t>
      </w:r>
    </w:p>
    <w:p w:rsidR="008A7E17" w:rsidRDefault="00670CEC" w:rsidP="005247BF">
      <w:pPr>
        <w:pStyle w:val="Heading2"/>
        <w:spacing w:after="240"/>
        <w:rPr>
          <w:b/>
        </w:rPr>
      </w:pPr>
      <w:r w:rsidRPr="007E053F">
        <w:rPr>
          <w:b/>
          <w:lang w:eastAsia="en-PH"/>
        </w:rPr>
        <w:t>Goods Declaration</w:t>
      </w:r>
      <w:r>
        <w:rPr>
          <w:lang w:eastAsia="en-PH"/>
        </w:rPr>
        <w:t xml:space="preserve"> </w:t>
      </w:r>
      <w:r w:rsidR="00787A9B">
        <w:rPr>
          <w:lang w:eastAsia="en-PH"/>
        </w:rPr>
        <w:t xml:space="preserve">- </w:t>
      </w:r>
      <w:r>
        <w:rPr>
          <w:lang w:eastAsia="en-PH"/>
        </w:rPr>
        <w:t>refers to a statement made in the manner prescribed by the Bureau and other appropriate agencies, by which the persons concerned indicate the procedure to be observed in the application for the entry or admission of imported goods and the particulars of which the customs administration shall require</w:t>
      </w:r>
      <w:r w:rsidR="00574BEB">
        <w:rPr>
          <w:lang w:val="en-US" w:eastAsia="en-PH"/>
        </w:rPr>
        <w:t xml:space="preserve">. </w:t>
      </w:r>
      <w:r w:rsidR="00574BEB">
        <w:rPr>
          <w:rStyle w:val="FootnoteReference"/>
          <w:lang w:val="en-US" w:eastAsia="en-PH"/>
        </w:rPr>
        <w:footnoteReference w:id="9"/>
      </w:r>
    </w:p>
    <w:p w:rsidR="008A7E17" w:rsidRDefault="00670CEC" w:rsidP="005247BF">
      <w:pPr>
        <w:pStyle w:val="Heading2"/>
        <w:spacing w:after="240"/>
        <w:rPr>
          <w:color w:val="FF0000"/>
          <w:lang w:val="en-US" w:eastAsia="en-PH"/>
        </w:rPr>
      </w:pPr>
      <w:r w:rsidRPr="007E053F">
        <w:rPr>
          <w:b/>
          <w:bCs/>
          <w:lang w:eastAsia="en-PH"/>
        </w:rPr>
        <w:t>Importation</w:t>
      </w:r>
      <w:r w:rsidRPr="00670CEC">
        <w:rPr>
          <w:b/>
          <w:bCs/>
          <w:lang w:eastAsia="en-PH"/>
        </w:rPr>
        <w:t xml:space="preserve"> </w:t>
      </w:r>
      <w:r w:rsidR="00787A9B" w:rsidRPr="005247BF">
        <w:rPr>
          <w:bCs/>
          <w:lang w:eastAsia="en-PH"/>
        </w:rPr>
        <w:t>-</w:t>
      </w:r>
      <w:r w:rsidR="00787A9B">
        <w:rPr>
          <w:b/>
          <w:bCs/>
          <w:lang w:eastAsia="en-PH"/>
        </w:rPr>
        <w:t xml:space="preserve"> </w:t>
      </w:r>
      <w:r>
        <w:rPr>
          <w:lang w:eastAsia="en-PH"/>
        </w:rPr>
        <w:t>refers to the act of bringing in of goods from a foreign territory into Philippine territory, whether for consumption, warehousing, or admission</w:t>
      </w:r>
      <w:r w:rsidR="00574BEB">
        <w:rPr>
          <w:lang w:eastAsia="en-PH"/>
        </w:rPr>
        <w:t xml:space="preserve">. </w:t>
      </w:r>
      <w:r w:rsidR="00574BEB">
        <w:rPr>
          <w:rStyle w:val="FootnoteReference"/>
          <w:lang w:eastAsia="en-PH"/>
        </w:rPr>
        <w:footnoteReference w:id="10"/>
      </w:r>
    </w:p>
    <w:p w:rsidR="00132918" w:rsidRPr="005247BF" w:rsidRDefault="00041786" w:rsidP="005247BF">
      <w:pPr>
        <w:pStyle w:val="Heading2"/>
        <w:spacing w:after="240"/>
      </w:pPr>
      <w:r>
        <w:rPr>
          <w:b/>
        </w:rPr>
        <w:t xml:space="preserve"> BOC </w:t>
      </w:r>
      <w:r w:rsidR="003933E0" w:rsidRPr="005247BF">
        <w:rPr>
          <w:b/>
        </w:rPr>
        <w:t>Certificate of</w:t>
      </w:r>
      <w:r w:rsidR="00132918" w:rsidRPr="005247BF">
        <w:rPr>
          <w:b/>
        </w:rPr>
        <w:t xml:space="preserve"> Accreditation</w:t>
      </w:r>
      <w:r w:rsidR="00787A9B" w:rsidRPr="005247BF">
        <w:t xml:space="preserve"> </w:t>
      </w:r>
      <w:r w:rsidR="003933E0" w:rsidRPr="005247BF">
        <w:t>–</w:t>
      </w:r>
      <w:r w:rsidR="00787A9B" w:rsidRPr="005247BF">
        <w:t xml:space="preserve"> </w:t>
      </w:r>
      <w:r w:rsidR="003933E0" w:rsidRPr="005247BF">
        <w:t xml:space="preserve">refers to the document issued </w:t>
      </w:r>
      <w:r w:rsidR="003933E0">
        <w:t xml:space="preserve">to </w:t>
      </w:r>
      <w:r>
        <w:t>importers authorized to transact with the Bureau.</w:t>
      </w:r>
    </w:p>
    <w:p w:rsidR="00132918" w:rsidRPr="00EB0364" w:rsidRDefault="00132918" w:rsidP="005247BF">
      <w:pPr>
        <w:pStyle w:val="Heading2"/>
        <w:spacing w:after="240"/>
        <w:rPr>
          <w:b/>
        </w:rPr>
      </w:pPr>
      <w:r w:rsidRPr="007E053F">
        <w:rPr>
          <w:b/>
          <w:lang w:eastAsia="en-PH"/>
        </w:rPr>
        <w:t>Liquidation of Raw Materials</w:t>
      </w:r>
      <w:r w:rsidRPr="007E053F">
        <w:rPr>
          <w:lang w:eastAsia="en-PH"/>
        </w:rPr>
        <w:t xml:space="preserve"> </w:t>
      </w:r>
      <w:r w:rsidR="00787A9B">
        <w:rPr>
          <w:lang w:eastAsia="en-PH"/>
        </w:rPr>
        <w:t xml:space="preserve">- </w:t>
      </w:r>
      <w:r>
        <w:rPr>
          <w:lang w:eastAsia="en-PH"/>
        </w:rPr>
        <w:t xml:space="preserve">is </w:t>
      </w:r>
      <w:r>
        <w:rPr>
          <w:lang w:val="en-US" w:eastAsia="en-PH"/>
        </w:rPr>
        <w:t>the</w:t>
      </w:r>
      <w:r>
        <w:rPr>
          <w:lang w:eastAsia="en-PH"/>
        </w:rPr>
        <w:t xml:space="preserve"> process</w:t>
      </w:r>
      <w:r>
        <w:rPr>
          <w:lang w:val="en-US" w:eastAsia="en-PH"/>
        </w:rPr>
        <w:t xml:space="preserve"> of accounting </w:t>
      </w:r>
      <w:r>
        <w:rPr>
          <w:lang w:eastAsia="en-PH"/>
        </w:rPr>
        <w:t>the</w:t>
      </w:r>
      <w:r>
        <w:rPr>
          <w:lang w:val="en-US" w:eastAsia="en-PH"/>
        </w:rPr>
        <w:t xml:space="preserve"> usage of bonded </w:t>
      </w:r>
      <w:r>
        <w:rPr>
          <w:lang w:eastAsia="en-PH"/>
        </w:rPr>
        <w:t>raw materials</w:t>
      </w:r>
      <w:r>
        <w:rPr>
          <w:lang w:val="en-US" w:eastAsia="en-PH"/>
        </w:rPr>
        <w:t>, including wastages,</w:t>
      </w:r>
      <w:r>
        <w:rPr>
          <w:lang w:eastAsia="en-PH"/>
        </w:rPr>
        <w:t xml:space="preserve"> </w:t>
      </w:r>
      <w:r>
        <w:rPr>
          <w:lang w:val="en-US" w:eastAsia="en-PH"/>
        </w:rPr>
        <w:t>in</w:t>
      </w:r>
      <w:r>
        <w:rPr>
          <w:lang w:eastAsia="en-PH"/>
        </w:rPr>
        <w:t xml:space="preserve"> the manufacture of </w:t>
      </w:r>
      <w:r>
        <w:rPr>
          <w:lang w:val="en-US" w:eastAsia="en-PH"/>
        </w:rPr>
        <w:t xml:space="preserve">finished products for export as against the importation by CBWs of raw materials using the formula of manufacture. </w:t>
      </w:r>
    </w:p>
    <w:p w:rsidR="008A7E17" w:rsidRDefault="00670CEC" w:rsidP="005247BF">
      <w:pPr>
        <w:pStyle w:val="Heading2"/>
        <w:spacing w:after="240"/>
        <w:rPr>
          <w:b/>
        </w:rPr>
      </w:pPr>
      <w:proofErr w:type="spellStart"/>
      <w:r w:rsidRPr="007E053F">
        <w:rPr>
          <w:b/>
          <w:lang w:eastAsia="en-PH"/>
        </w:rPr>
        <w:t>Lodgement</w:t>
      </w:r>
      <w:proofErr w:type="spellEnd"/>
      <w:r w:rsidRPr="007E053F">
        <w:rPr>
          <w:lang w:eastAsia="en-PH"/>
        </w:rPr>
        <w:t xml:space="preserve"> </w:t>
      </w:r>
      <w:r w:rsidR="00787A9B">
        <w:rPr>
          <w:lang w:eastAsia="en-PH"/>
        </w:rPr>
        <w:t xml:space="preserve">- </w:t>
      </w:r>
      <w:r>
        <w:rPr>
          <w:lang w:eastAsia="en-PH"/>
        </w:rPr>
        <w:t>refers to the registration of a goods declaration with the Bureau</w:t>
      </w:r>
      <w:r w:rsidR="00873DAC">
        <w:rPr>
          <w:lang w:eastAsia="en-PH"/>
        </w:rPr>
        <w:t>.</w:t>
      </w:r>
      <w:r w:rsidR="005B2E6C">
        <w:rPr>
          <w:rStyle w:val="FootnoteReference"/>
          <w:lang w:eastAsia="en-PH"/>
        </w:rPr>
        <w:footnoteReference w:id="11"/>
      </w:r>
      <w:r>
        <w:rPr>
          <w:lang w:val="en-US" w:eastAsia="en-PH"/>
        </w:rPr>
        <w:t xml:space="preserve"> </w:t>
      </w:r>
    </w:p>
    <w:p w:rsidR="00504EBC" w:rsidRPr="005247BF" w:rsidRDefault="00670CEC" w:rsidP="005247BF">
      <w:pPr>
        <w:pStyle w:val="Heading2"/>
        <w:spacing w:after="240"/>
        <w:rPr>
          <w:b/>
          <w:color w:val="FF0000"/>
        </w:rPr>
      </w:pPr>
      <w:r w:rsidRPr="00AC10DC">
        <w:rPr>
          <w:b/>
          <w:lang w:eastAsia="en-PH"/>
        </w:rPr>
        <w:lastRenderedPageBreak/>
        <w:t>Perishable Goods</w:t>
      </w:r>
      <w:r>
        <w:rPr>
          <w:lang w:eastAsia="en-PH"/>
        </w:rPr>
        <w:t xml:space="preserve"> </w:t>
      </w:r>
      <w:r w:rsidR="00787A9B">
        <w:rPr>
          <w:lang w:eastAsia="en-PH"/>
        </w:rPr>
        <w:t xml:space="preserve">- </w:t>
      </w:r>
      <w:r>
        <w:rPr>
          <w:lang w:eastAsia="en-PH"/>
        </w:rPr>
        <w:t>refers to goods liable to perish or goods that depreciate greatly in value while stored or which cannot be kept without great disproportionate expense, which may be proceeded to, advertised and sold at auction upon notice if deemed reasonable</w:t>
      </w:r>
      <w:r w:rsidR="00873DAC">
        <w:rPr>
          <w:lang w:eastAsia="en-PH"/>
        </w:rPr>
        <w:t>.</w:t>
      </w:r>
      <w:r w:rsidR="005B2E6C">
        <w:rPr>
          <w:rStyle w:val="FootnoteReference"/>
          <w:lang w:eastAsia="en-PH"/>
        </w:rPr>
        <w:footnoteReference w:id="12"/>
      </w:r>
      <w:r w:rsidRPr="00AC10DC">
        <w:rPr>
          <w:lang w:val="en-US" w:eastAsia="en-PH"/>
        </w:rPr>
        <w:t xml:space="preserve"> </w:t>
      </w:r>
    </w:p>
    <w:p w:rsidR="004912DB" w:rsidRPr="005247BF" w:rsidRDefault="00CD46AA" w:rsidP="005247BF">
      <w:pPr>
        <w:pStyle w:val="Heading2"/>
        <w:spacing w:after="240"/>
        <w:rPr>
          <w:lang w:val="en-US" w:eastAsia="en-PH"/>
        </w:rPr>
      </w:pPr>
      <w:r w:rsidRPr="005247BF">
        <w:rPr>
          <w:b/>
        </w:rPr>
        <w:t>Physical Security</w:t>
      </w:r>
      <w:r>
        <w:t xml:space="preserve"> </w:t>
      </w:r>
      <w:r w:rsidR="00365975" w:rsidRPr="00EB0364">
        <w:t>-</w:t>
      </w:r>
      <w:r>
        <w:t xml:space="preserve"> </w:t>
      </w:r>
      <w:r w:rsidR="00290CE2">
        <w:t xml:space="preserve">refers to </w:t>
      </w:r>
      <w:r w:rsidR="00204FD1">
        <w:t>a system to secure and monitor premises, storage and production areas</w:t>
      </w:r>
      <w:r w:rsidR="00733E72">
        <w:t xml:space="preserve"> of CBWs and CFWs including the safety of personnel</w:t>
      </w:r>
      <w:r w:rsidR="00733E72" w:rsidRPr="005247BF">
        <w:rPr>
          <w:color w:val="auto"/>
          <w:lang w:val="en-US" w:eastAsia="en-PH"/>
        </w:rPr>
        <w:t>.</w:t>
      </w:r>
      <w:r w:rsidR="00244E96">
        <w:rPr>
          <w:color w:val="auto"/>
          <w:lang w:val="en-US" w:eastAsia="en-PH"/>
        </w:rPr>
        <w:t xml:space="preserve"> </w:t>
      </w:r>
      <w:r w:rsidR="000C15A5">
        <w:rPr>
          <w:rStyle w:val="FootnoteReference"/>
          <w:color w:val="auto"/>
          <w:lang w:val="en-US" w:eastAsia="en-PH"/>
        </w:rPr>
        <w:footnoteReference w:id="13"/>
      </w:r>
    </w:p>
    <w:p w:rsidR="00132918" w:rsidRDefault="00132918" w:rsidP="005247BF">
      <w:pPr>
        <w:pStyle w:val="Heading2"/>
        <w:spacing w:after="240"/>
        <w:rPr>
          <w:color w:val="FF0000"/>
          <w:sz w:val="20"/>
          <w:szCs w:val="20"/>
        </w:rPr>
      </w:pPr>
      <w:r w:rsidRPr="007E053F">
        <w:rPr>
          <w:b/>
          <w:lang w:eastAsia="en-PH"/>
        </w:rPr>
        <w:t>Security</w:t>
      </w:r>
      <w:r w:rsidR="00787A9B">
        <w:rPr>
          <w:b/>
          <w:lang w:eastAsia="en-PH"/>
        </w:rPr>
        <w:t xml:space="preserve"> </w:t>
      </w:r>
      <w:r w:rsidR="00787A9B" w:rsidRPr="005247BF">
        <w:rPr>
          <w:lang w:eastAsia="en-PH"/>
        </w:rPr>
        <w:t>-</w:t>
      </w:r>
      <w:r>
        <w:rPr>
          <w:lang w:eastAsia="en-PH"/>
        </w:rPr>
        <w:t xml:space="preserve"> refers to any form of guaranty, such as a surety bond, cash bond, standby letter of credit or irrevocable letter of credit, which ensures the satisfaction</w:t>
      </w:r>
      <w:r w:rsidR="00873DAC">
        <w:rPr>
          <w:lang w:eastAsia="en-PH"/>
        </w:rPr>
        <w:t xml:space="preserve"> of an obligation to the Bureau.</w:t>
      </w:r>
      <w:r w:rsidR="000C15A5">
        <w:rPr>
          <w:rStyle w:val="FootnoteReference"/>
          <w:lang w:eastAsia="en-PH"/>
        </w:rPr>
        <w:footnoteReference w:id="14"/>
      </w:r>
    </w:p>
    <w:p w:rsidR="00132918" w:rsidRPr="005247BF" w:rsidRDefault="00132918" w:rsidP="005247BF">
      <w:pPr>
        <w:pStyle w:val="Heading2"/>
        <w:spacing w:after="240"/>
      </w:pPr>
      <w:r w:rsidRPr="007E053F">
        <w:rPr>
          <w:b/>
        </w:rPr>
        <w:t>Transfer Note</w:t>
      </w:r>
      <w:r w:rsidR="00787A9B">
        <w:rPr>
          <w:b/>
        </w:rPr>
        <w:t xml:space="preserve"> </w:t>
      </w:r>
      <w:r w:rsidR="00787A9B" w:rsidRPr="005247BF">
        <w:t>-</w:t>
      </w:r>
      <w:r w:rsidRPr="007E053F">
        <w:t xml:space="preserve"> is</w:t>
      </w:r>
      <w:r>
        <w:t xml:space="preserve"> a document that accompanies the transfer or transit of bonded imported articles to a PEZA/Freeport locator or to another CBW and serves as proof of delivery or receipt of the articles at its intended destination duly acknowledged on its face by the Collector of Customs or his duly authorized representative. It is also commonly referred to as a “boat note”.</w:t>
      </w:r>
    </w:p>
    <w:p w:rsidR="002F7172" w:rsidRDefault="002F7172" w:rsidP="005247BF">
      <w:pPr>
        <w:pStyle w:val="Heading2"/>
        <w:spacing w:after="240"/>
      </w:pPr>
      <w:r w:rsidRPr="007E053F">
        <w:rPr>
          <w:b/>
        </w:rPr>
        <w:t>Unauthorized Withdrawal</w:t>
      </w:r>
      <w:r w:rsidRPr="007E053F">
        <w:t xml:space="preserve"> </w:t>
      </w:r>
      <w:r>
        <w:t xml:space="preserve">- </w:t>
      </w:r>
      <w:r w:rsidRPr="007E053F">
        <w:t>refers to the act of removing, transferring</w:t>
      </w:r>
      <w:r>
        <w:t xml:space="preserve"> or disposing of goods stored in CBWs and CFWs without proper authority or in violation of existing warehousing rules and regulations.</w:t>
      </w:r>
    </w:p>
    <w:p w:rsidR="002D1E67" w:rsidRPr="005247BF" w:rsidRDefault="0003636E" w:rsidP="005247BF">
      <w:pPr>
        <w:pStyle w:val="Heading1"/>
        <w:rPr>
          <w:b w:val="0"/>
        </w:rPr>
      </w:pPr>
      <w:r w:rsidRPr="005247BF">
        <w:rPr>
          <w:u w:val="single"/>
        </w:rPr>
        <w:t>General Provisions</w:t>
      </w:r>
      <w:r w:rsidRPr="00A3264D">
        <w:t>.</w:t>
      </w:r>
    </w:p>
    <w:p w:rsidR="002D1E67" w:rsidRPr="005247BF" w:rsidRDefault="002D1E67" w:rsidP="005247BF">
      <w:pPr>
        <w:pStyle w:val="Heading2"/>
        <w:numPr>
          <w:ilvl w:val="0"/>
          <w:numId w:val="0"/>
        </w:numPr>
        <w:spacing w:after="240"/>
        <w:ind w:left="1530"/>
        <w:contextualSpacing/>
        <w:rPr>
          <w:sz w:val="20"/>
          <w:szCs w:val="20"/>
        </w:rPr>
      </w:pPr>
    </w:p>
    <w:p w:rsidR="00E02D50" w:rsidRDefault="00670CEC" w:rsidP="005247BF">
      <w:pPr>
        <w:pStyle w:val="Heading2"/>
        <w:ind w:left="1530" w:hanging="540"/>
        <w:contextualSpacing/>
      </w:pPr>
      <w:r w:rsidRPr="00BF4B2A">
        <w:rPr>
          <w:b/>
        </w:rPr>
        <w:t>Establishment of Customs Warehouses</w:t>
      </w:r>
      <w:r w:rsidRPr="00EB0364">
        <w:rPr>
          <w:b/>
        </w:rPr>
        <w:t>.</w:t>
      </w:r>
      <w:r w:rsidRPr="005247BF">
        <w:t xml:space="preserve"> </w:t>
      </w:r>
      <w:r w:rsidRPr="00BF4B2A">
        <w:t>When the business of the port and trade</w:t>
      </w:r>
      <w:r w:rsidR="00E02D50">
        <w:rPr>
          <w:rStyle w:val="FootnoteReference"/>
        </w:rPr>
        <w:footnoteReference w:id="15"/>
      </w:r>
      <w:r w:rsidRPr="00BF4B2A">
        <w:t xml:space="preserve"> requires such facilities, the District Collector, subject to the approval of the Commissioner, shall designate and establish customs warehouses</w:t>
      </w:r>
      <w:r w:rsidRPr="00EB0364">
        <w:t xml:space="preserve"> for the storage of imported goods or for other special purposes.</w:t>
      </w:r>
      <w:r w:rsidR="00CD37A1" w:rsidRPr="00EB0364">
        <w:t xml:space="preserve"> </w:t>
      </w:r>
      <w:r w:rsidR="00E02D50">
        <w:rPr>
          <w:rStyle w:val="FootnoteReference"/>
        </w:rPr>
        <w:footnoteReference w:id="16"/>
      </w:r>
      <w:r w:rsidR="00E02D50">
        <w:t xml:space="preserve"> </w:t>
      </w:r>
      <w:r>
        <w:t>The Commissioner shall issue rules and regulations defining the requirements for eligibility to operate a CBW or CFW.</w:t>
      </w:r>
      <w:r w:rsidR="00E02D50">
        <w:rPr>
          <w:rStyle w:val="FootnoteReference"/>
        </w:rPr>
        <w:footnoteReference w:id="17"/>
      </w:r>
      <w:r w:rsidRPr="007E053F">
        <w:t xml:space="preserve"> </w:t>
      </w:r>
    </w:p>
    <w:p w:rsidR="00E02D50" w:rsidRPr="005247BF" w:rsidRDefault="00E02D50" w:rsidP="005247BF">
      <w:pPr>
        <w:spacing w:after="0" w:line="240" w:lineRule="auto"/>
      </w:pPr>
    </w:p>
    <w:p w:rsidR="002D1E67" w:rsidRDefault="00670CEC" w:rsidP="005247BF">
      <w:pPr>
        <w:pStyle w:val="Heading2"/>
        <w:spacing w:after="240"/>
        <w:ind w:left="1530" w:hanging="540"/>
        <w:contextualSpacing/>
      </w:pPr>
      <w:r>
        <w:rPr>
          <w:b/>
        </w:rPr>
        <w:t xml:space="preserve">Supervision and Control over </w:t>
      </w:r>
      <w:r w:rsidRPr="007E053F">
        <w:rPr>
          <w:b/>
        </w:rPr>
        <w:t>Customs Warehouses</w:t>
      </w:r>
      <w:r>
        <w:rPr>
          <w:b/>
        </w:rPr>
        <w:t xml:space="preserve">. </w:t>
      </w:r>
      <w:r>
        <w:t>All such warehouses and premises shall be subject to the supervision of the District Collector, who shall impose such conditions as may be deemed necessary for the protection of government revenue, and of the goods stored therein.</w:t>
      </w:r>
    </w:p>
    <w:p w:rsidR="008A7E17" w:rsidRDefault="008A7E17" w:rsidP="005247BF">
      <w:pPr>
        <w:pStyle w:val="Heading2"/>
        <w:numPr>
          <w:ilvl w:val="0"/>
          <w:numId w:val="0"/>
        </w:numPr>
        <w:spacing w:after="240"/>
        <w:ind w:left="1530"/>
        <w:contextualSpacing/>
      </w:pPr>
    </w:p>
    <w:p w:rsidR="008A7E17" w:rsidRDefault="00670CEC" w:rsidP="005247BF">
      <w:pPr>
        <w:pStyle w:val="Heading2"/>
        <w:numPr>
          <w:ilvl w:val="0"/>
          <w:numId w:val="0"/>
        </w:numPr>
        <w:spacing w:after="240"/>
        <w:ind w:left="1530"/>
        <w:contextualSpacing/>
      </w:pPr>
      <w:r>
        <w:lastRenderedPageBreak/>
        <w:t>Such authority shall extend to any additional facilities, such as warehouse extensions, licensed members, clients/end-users and sub-contractors, as the case may be. In cases where the clients/end-users or sub-contractors are located in Free Zones</w:t>
      </w:r>
      <w:r w:rsidR="00E02D50">
        <w:rPr>
          <w:rStyle w:val="FootnoteReference"/>
        </w:rPr>
        <w:footnoteReference w:id="18"/>
      </w:r>
      <w:r w:rsidR="00C9611F">
        <w:t>,</w:t>
      </w:r>
      <w:r>
        <w:t xml:space="preserve"> such authority shall be made in coordination with the government agency concerned.</w:t>
      </w:r>
    </w:p>
    <w:p w:rsidR="00684066" w:rsidRDefault="00684066" w:rsidP="005247BF">
      <w:pPr>
        <w:pStyle w:val="Heading2"/>
        <w:numPr>
          <w:ilvl w:val="0"/>
          <w:numId w:val="0"/>
        </w:numPr>
        <w:ind w:left="1620"/>
      </w:pPr>
    </w:p>
    <w:p w:rsidR="008A7E17" w:rsidRPr="00732345" w:rsidRDefault="00670CEC" w:rsidP="005247BF">
      <w:pPr>
        <w:pStyle w:val="Heading2"/>
        <w:rPr>
          <w:b/>
        </w:rPr>
      </w:pPr>
      <w:r w:rsidRPr="00EB0364">
        <w:rPr>
          <w:b/>
        </w:rPr>
        <w:t xml:space="preserve">Types of </w:t>
      </w:r>
      <w:r w:rsidRPr="005247BF">
        <w:rPr>
          <w:b/>
        </w:rPr>
        <w:t>Customs Warehouses</w:t>
      </w:r>
      <w:r w:rsidR="0047779A">
        <w:rPr>
          <w:b/>
        </w:rPr>
        <w:t>.</w:t>
      </w:r>
    </w:p>
    <w:p w:rsidR="008A7E17" w:rsidRDefault="008A7E17" w:rsidP="005247BF">
      <w:pPr>
        <w:pStyle w:val="NoSpacing1"/>
        <w:tabs>
          <w:tab w:val="left" w:pos="1080"/>
        </w:tabs>
        <w:ind w:left="1170"/>
        <w:jc w:val="both"/>
        <w:rPr>
          <w:rFonts w:ascii="Tahoma" w:hAnsi="Tahoma" w:cs="Tahoma"/>
          <w:b/>
          <w:color w:val="000000" w:themeColor="text1"/>
          <w:sz w:val="24"/>
          <w:szCs w:val="24"/>
        </w:rPr>
      </w:pPr>
    </w:p>
    <w:p w:rsidR="008A7E17" w:rsidRDefault="00670CEC" w:rsidP="005247BF">
      <w:pPr>
        <w:pStyle w:val="Heading3"/>
      </w:pPr>
      <w:r w:rsidRPr="005247BF">
        <w:rPr>
          <w:b/>
        </w:rPr>
        <w:t>Customs Bonded Warehouse</w:t>
      </w:r>
      <w:r w:rsidR="0047779A">
        <w:rPr>
          <w:b/>
        </w:rPr>
        <w:t>.</w:t>
      </w:r>
      <w:r w:rsidR="00C9611F" w:rsidRPr="005247BF">
        <w:rPr>
          <w:rStyle w:val="FootnoteReference"/>
        </w:rPr>
        <w:footnoteReference w:id="19"/>
      </w:r>
      <w:r w:rsidRPr="00AC10DC">
        <w:t xml:space="preserve"> </w:t>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DE7968" w:rsidP="005247BF">
      <w:pPr>
        <w:pStyle w:val="Heading3"/>
        <w:numPr>
          <w:ilvl w:val="3"/>
          <w:numId w:val="36"/>
        </w:numPr>
        <w:tabs>
          <w:tab w:val="left" w:pos="3060"/>
          <w:tab w:val="left" w:pos="3240"/>
        </w:tabs>
        <w:ind w:left="3150" w:hanging="720"/>
        <w:rPr>
          <w:b/>
        </w:rPr>
      </w:pPr>
      <w:r>
        <w:rPr>
          <w:b/>
        </w:rPr>
        <w:t xml:space="preserve">Customs </w:t>
      </w:r>
      <w:r w:rsidR="00670CEC" w:rsidRPr="007E053F">
        <w:rPr>
          <w:b/>
        </w:rPr>
        <w:t>Bonded Manufacturing Warehouse (</w:t>
      </w:r>
      <w:r>
        <w:rPr>
          <w:b/>
        </w:rPr>
        <w:t>C</w:t>
      </w:r>
      <w:r w:rsidR="00670CEC" w:rsidRPr="007E053F">
        <w:rPr>
          <w:b/>
        </w:rPr>
        <w:t>BMW)</w:t>
      </w:r>
      <w:r w:rsidR="00C861DA">
        <w:rPr>
          <w:b/>
        </w:rPr>
        <w:t>.</w:t>
      </w:r>
      <w:r w:rsidR="00C861DA">
        <w:t xml:space="preserve"> It </w:t>
      </w:r>
      <w:r w:rsidR="00670CEC">
        <w:t>is a facility established for the manufacture of products utilizing raw materials or components that are imported duty and tax-free conditioned on the exportation of the finished products within the period prescribed herein.  A BMW shall include:</w:t>
      </w:r>
    </w:p>
    <w:p w:rsidR="008A7E17" w:rsidRDefault="00670CEC" w:rsidP="005247BF">
      <w:pPr>
        <w:pStyle w:val="NoSpacing1"/>
        <w:tabs>
          <w:tab w:val="left" w:pos="1080"/>
        </w:tabs>
        <w:ind w:leftChars="700" w:left="2433" w:hangingChars="372" w:hanging="893"/>
        <w:jc w:val="both"/>
        <w:rPr>
          <w:rFonts w:ascii="Tahoma" w:hAnsi="Tahoma" w:cs="Tahoma"/>
          <w:color w:val="000000" w:themeColor="text1"/>
          <w:sz w:val="24"/>
          <w:szCs w:val="24"/>
        </w:rPr>
      </w:pPr>
      <w:r>
        <w:rPr>
          <w:rFonts w:ascii="Tahoma" w:hAnsi="Tahoma" w:cs="Tahoma"/>
          <w:color w:val="000000" w:themeColor="text1"/>
          <w:sz w:val="24"/>
          <w:szCs w:val="24"/>
        </w:rPr>
        <w:t xml:space="preserve"> </w:t>
      </w:r>
    </w:p>
    <w:p w:rsidR="008A7E17" w:rsidRPr="00571DE0" w:rsidRDefault="00670CEC" w:rsidP="005247BF">
      <w:pPr>
        <w:pStyle w:val="SubLettering"/>
      </w:pPr>
      <w:r w:rsidRPr="00EB0364">
        <w:rPr>
          <w:b/>
        </w:rPr>
        <w:t>Mis</w:t>
      </w:r>
      <w:r w:rsidRPr="00724334">
        <w:rPr>
          <w:b/>
        </w:rPr>
        <w:t>cellaneous Customs Bonded Warehous</w:t>
      </w:r>
      <w:r w:rsidR="00C861DA">
        <w:rPr>
          <w:b/>
        </w:rPr>
        <w:t xml:space="preserve">e. </w:t>
      </w:r>
      <w:r w:rsidR="00C861DA" w:rsidRPr="005247BF">
        <w:t>It</w:t>
      </w:r>
      <w:r w:rsidRPr="00EB0364">
        <w:t xml:space="preserve"> is a warehouse facility established and authorized by the Bureau to import, receive, and store, duty free and under bond, raw materials, accessories and packing materials for products and commodities not covered under any specific industry, for manufacture into finished products </w:t>
      </w:r>
      <w:r w:rsidRPr="00724334">
        <w:t>for export.</w:t>
      </w:r>
      <w:r w:rsidR="00C9611F">
        <w:rPr>
          <w:rStyle w:val="FootnoteReference"/>
        </w:rPr>
        <w:footnoteReference w:id="20"/>
      </w:r>
      <w:r w:rsidRPr="00724334">
        <w:t xml:space="preserve"> </w:t>
      </w:r>
    </w:p>
    <w:p w:rsidR="008A7E17" w:rsidRPr="00571DE0" w:rsidRDefault="00670CEC" w:rsidP="005247BF">
      <w:pPr>
        <w:pStyle w:val="SubLettering"/>
      </w:pPr>
      <w:r w:rsidRPr="00AC10DC">
        <w:rPr>
          <w:b/>
        </w:rPr>
        <w:t>Customs Common Bonded Warehous</w:t>
      </w:r>
      <w:r w:rsidR="00C861DA">
        <w:rPr>
          <w:b/>
        </w:rPr>
        <w:t xml:space="preserve">e. </w:t>
      </w:r>
      <w:r w:rsidR="00C861DA" w:rsidRPr="005247BF">
        <w:t>It</w:t>
      </w:r>
      <w:r w:rsidRPr="00EB0364">
        <w:t xml:space="preserve"> is a warehouse facility established and authorized by the Bureau to import, receive, and store, duty free and under bond, raw materials, accessories, an</w:t>
      </w:r>
      <w:r w:rsidRPr="00724334">
        <w:t>d packing materials for the</w:t>
      </w:r>
      <w:r w:rsidRPr="00571DE0">
        <w:t xml:space="preserve"> account of its accredited members</w:t>
      </w:r>
      <w:r w:rsidRPr="00AC10DC">
        <w:t xml:space="preserve"> classified as micro or small-scale enterprise, for manufacture into finished products </w:t>
      </w:r>
      <w:r w:rsidRPr="004C073B">
        <w:t>for export.</w:t>
      </w:r>
      <w:r w:rsidR="00EE68AC">
        <w:rPr>
          <w:rStyle w:val="FootnoteReference"/>
        </w:rPr>
        <w:footnoteReference w:id="21"/>
      </w:r>
      <w:r w:rsidRPr="00AC10DC">
        <w:t xml:space="preserve"> </w:t>
      </w:r>
    </w:p>
    <w:p w:rsidR="008A7E17" w:rsidRPr="005247BF" w:rsidRDefault="00670CEC" w:rsidP="005247BF">
      <w:pPr>
        <w:pStyle w:val="SubLettering"/>
        <w:rPr>
          <w:b/>
          <w:color w:val="FF0000"/>
        </w:rPr>
      </w:pPr>
      <w:r w:rsidRPr="007E053F">
        <w:rPr>
          <w:b/>
        </w:rPr>
        <w:t>Industry Specific Bonded Warehous</w:t>
      </w:r>
      <w:r w:rsidR="00C861DA">
        <w:rPr>
          <w:b/>
        </w:rPr>
        <w:t xml:space="preserve">e. </w:t>
      </w:r>
      <w:r w:rsidR="00C861DA" w:rsidRPr="005247BF">
        <w:t>It</w:t>
      </w:r>
      <w:r w:rsidRPr="007E053F">
        <w:t xml:space="preserve"> is a warehouse facility established and authorized by the Bureau to import, receive, and store, duty free and under bond, raw materials, accessories, and packing materials for </w:t>
      </w:r>
      <w:r w:rsidRPr="007E053F">
        <w:lastRenderedPageBreak/>
        <w:t>products that fall under a specific industry, for manufacture into finished products for export.</w:t>
      </w:r>
      <w:r w:rsidR="00EE68AC">
        <w:rPr>
          <w:rStyle w:val="FootnoteReference"/>
        </w:rPr>
        <w:footnoteReference w:id="22"/>
      </w:r>
      <w:r>
        <w:t xml:space="preserve"> </w:t>
      </w:r>
    </w:p>
    <w:p w:rsidR="008A7E17" w:rsidRDefault="00670CEC" w:rsidP="005247BF">
      <w:pPr>
        <w:pStyle w:val="Heading3"/>
      </w:pPr>
      <w:r w:rsidRPr="007E053F">
        <w:rPr>
          <w:b/>
        </w:rPr>
        <w:t>Bonded Non-Manufacturing Warehouse (BNMW</w:t>
      </w:r>
      <w:r>
        <w:rPr>
          <w:b/>
        </w:rPr>
        <w:t>)</w:t>
      </w:r>
      <w:r w:rsidR="00873DAC">
        <w:rPr>
          <w:b/>
        </w:rPr>
        <w:t>.</w:t>
      </w:r>
      <w:r>
        <w:t xml:space="preserve"> </w:t>
      </w:r>
      <w:r w:rsidR="00873DAC" w:rsidRPr="002F52D2">
        <w:t>It</w:t>
      </w:r>
      <w:r w:rsidR="00873DAC">
        <w:rPr>
          <w:b/>
        </w:rPr>
        <w:t xml:space="preserve"> </w:t>
      </w:r>
      <w:r>
        <w:t xml:space="preserve">is a facility where goods are stored duty- and tax-free conditioned on the eventual withdrawal of the goods for consumption, or for export, or for transit, or for any other clearance regime, within the period prescribed herein, such as: </w:t>
      </w:r>
    </w:p>
    <w:p w:rsidR="008A7E17" w:rsidRPr="007E053F" w:rsidRDefault="008A7E17" w:rsidP="005247BF">
      <w:pPr>
        <w:pStyle w:val="SubLettering"/>
        <w:numPr>
          <w:ilvl w:val="0"/>
          <w:numId w:val="0"/>
        </w:numPr>
        <w:spacing w:line="240" w:lineRule="auto"/>
      </w:pPr>
    </w:p>
    <w:p w:rsidR="008A7E17" w:rsidRDefault="00670CEC" w:rsidP="005247BF">
      <w:pPr>
        <w:pStyle w:val="SubLettering"/>
        <w:numPr>
          <w:ilvl w:val="0"/>
          <w:numId w:val="54"/>
        </w:numPr>
        <w:spacing w:line="240" w:lineRule="auto"/>
      </w:pPr>
      <w:r w:rsidRPr="007E053F">
        <w:rPr>
          <w:b/>
        </w:rPr>
        <w:t>Public Bonded Warehouse</w:t>
      </w:r>
      <w:r w:rsidR="00873DAC">
        <w:rPr>
          <w:b/>
        </w:rPr>
        <w:t>.</w:t>
      </w:r>
      <w:r>
        <w:t xml:space="preserve"> </w:t>
      </w:r>
      <w:r w:rsidR="00873DAC" w:rsidRPr="002F52D2">
        <w:t>It</w:t>
      </w:r>
      <w:r w:rsidR="00873DAC">
        <w:rPr>
          <w:b/>
        </w:rPr>
        <w:t xml:space="preserve"> </w:t>
      </w:r>
      <w:r>
        <w:t xml:space="preserve">is a warehouse facility authorized by the Bureau to receive and store general cargoes for exportation, transfer to another </w:t>
      </w:r>
      <w:r w:rsidR="001164AF">
        <w:t>CBW</w:t>
      </w:r>
      <w:r>
        <w:t>, free zones, or for local consumption, in the same state when the cargoes were imported. Articles for local consumption shall only be withdrawn upon payment of the assessed duties, taxes and other charges.</w:t>
      </w:r>
      <w:r w:rsidR="00D32E54" w:rsidRPr="005247BF">
        <w:rPr>
          <w:rStyle w:val="FootnoteReference"/>
          <w:bCs/>
          <w:color w:val="auto"/>
        </w:rPr>
        <w:footnoteReference w:id="23"/>
      </w:r>
      <w:r w:rsidR="00D32E54" w:rsidDel="004210CC">
        <w:rPr>
          <w:color w:val="FF0000"/>
        </w:rPr>
        <w:t xml:space="preserve"> </w:t>
      </w:r>
    </w:p>
    <w:p w:rsidR="008A7E17" w:rsidRDefault="00670CEC" w:rsidP="005247BF">
      <w:pPr>
        <w:pStyle w:val="SubLettering"/>
      </w:pPr>
      <w:r w:rsidRPr="007E053F">
        <w:rPr>
          <w:b/>
        </w:rPr>
        <w:t>Private Bonded Warehouse</w:t>
      </w:r>
      <w:r w:rsidR="00873DAC">
        <w:rPr>
          <w:b/>
        </w:rPr>
        <w:t xml:space="preserve">. </w:t>
      </w:r>
      <w:r w:rsidR="00873DAC" w:rsidRPr="005247BF">
        <w:t>It</w:t>
      </w:r>
      <w:r w:rsidR="00873DAC">
        <w:rPr>
          <w:b/>
        </w:rPr>
        <w:t xml:space="preserve"> </w:t>
      </w:r>
      <w:r>
        <w:t>is a warehouse facility authorized by the Bureau to import, receive and store articles for its production intended for domestic consumption, withdrawal of which shall be made only upon payment of the corresponding duties, taxes and other charges.</w:t>
      </w:r>
      <w:r w:rsidR="00D32E54">
        <w:rPr>
          <w:rStyle w:val="FootnoteReference"/>
        </w:rPr>
        <w:footnoteReference w:id="24"/>
      </w:r>
    </w:p>
    <w:p w:rsidR="008A7E17" w:rsidRPr="005247BF" w:rsidRDefault="00670CEC" w:rsidP="005247BF">
      <w:pPr>
        <w:pStyle w:val="Heading2"/>
        <w:rPr>
          <w:b/>
          <w:u w:val="single"/>
        </w:rPr>
      </w:pPr>
      <w:r w:rsidRPr="005247BF">
        <w:rPr>
          <w:b/>
          <w:u w:val="single"/>
        </w:rPr>
        <w:t>Customs Facilities and Warehouses</w:t>
      </w:r>
      <w:r w:rsidR="0047779A">
        <w:rPr>
          <w:b/>
        </w:rPr>
        <w:t>.</w:t>
      </w: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670CEC" w:rsidP="005247BF">
      <w:pPr>
        <w:pStyle w:val="Heading3"/>
      </w:pPr>
      <w:r w:rsidRPr="007E053F">
        <w:rPr>
          <w:b/>
        </w:rPr>
        <w:t>Container Yard</w:t>
      </w:r>
      <w:r w:rsidR="00C861DA" w:rsidRPr="005247BF">
        <w:rPr>
          <w:b/>
        </w:rPr>
        <w:t>.</w:t>
      </w:r>
      <w:r w:rsidR="00C861DA">
        <w:t xml:space="preserve"> It i</w:t>
      </w:r>
      <w:r>
        <w:t xml:space="preserve">s a facility authorized by the Bureau to accept and store container vans, laden or empty, intended for international shipping for storage within the period allowed under customs laws, rules and regulations. A container yard may be established either within the customs zone or off dock, as may be allowed under customs laws, rules, and regulations. </w:t>
      </w:r>
    </w:p>
    <w:p w:rsidR="008A7E17" w:rsidRDefault="008A7E17" w:rsidP="005247BF">
      <w:pPr>
        <w:pStyle w:val="NoSpacing1"/>
        <w:tabs>
          <w:tab w:val="left" w:pos="1080"/>
        </w:tabs>
        <w:ind w:left="3600"/>
        <w:jc w:val="both"/>
        <w:rPr>
          <w:rFonts w:ascii="Tahoma" w:hAnsi="Tahoma" w:cs="Tahoma"/>
          <w:color w:val="000000" w:themeColor="text1"/>
          <w:sz w:val="24"/>
          <w:szCs w:val="24"/>
        </w:rPr>
      </w:pPr>
    </w:p>
    <w:p w:rsidR="008A7E17" w:rsidRPr="00EB0364" w:rsidRDefault="00670CEC" w:rsidP="005247BF">
      <w:pPr>
        <w:pStyle w:val="Heading3"/>
      </w:pPr>
      <w:r w:rsidRPr="007E053F">
        <w:rPr>
          <w:b/>
        </w:rPr>
        <w:t>Container Freight Station</w:t>
      </w:r>
      <w:r w:rsidR="00C861DA">
        <w:rPr>
          <w:b/>
        </w:rPr>
        <w:t>.</w:t>
      </w:r>
      <w:r>
        <w:t xml:space="preserve"> </w:t>
      </w:r>
      <w:r w:rsidR="00C861DA">
        <w:t xml:space="preserve">It </w:t>
      </w:r>
      <w:r>
        <w:t>is a facility authorized by the Bureau to accept and store container vans intended for international cargo, for temporary storage, examination, stripping, stuffing, and other related activities as may be allowed under customs laws, rules, and regulations. A container freight station may be established either within the customs zone or off dock, as may be allowed under customs laws, rules, and regulations.</w:t>
      </w:r>
    </w:p>
    <w:p w:rsidR="00C861DA" w:rsidRPr="005247BF" w:rsidRDefault="00C861DA" w:rsidP="005247BF">
      <w:pPr>
        <w:pStyle w:val="Heading3"/>
        <w:numPr>
          <w:ilvl w:val="0"/>
          <w:numId w:val="0"/>
        </w:numPr>
        <w:ind w:left="2430"/>
      </w:pPr>
    </w:p>
    <w:p w:rsidR="008A7E17" w:rsidRDefault="00C856A3" w:rsidP="005247BF">
      <w:pPr>
        <w:pStyle w:val="Heading3"/>
      </w:pPr>
      <w:r w:rsidRPr="007E053F">
        <w:rPr>
          <w:b/>
        </w:rPr>
        <w:t>Seaport Temporary</w:t>
      </w:r>
      <w:r w:rsidR="00670CEC" w:rsidRPr="007E053F">
        <w:rPr>
          <w:b/>
        </w:rPr>
        <w:t xml:space="preserve"> Storage Warehous</w:t>
      </w:r>
      <w:r w:rsidR="00C861DA">
        <w:rPr>
          <w:b/>
        </w:rPr>
        <w:t xml:space="preserve">e. </w:t>
      </w:r>
      <w:r w:rsidR="00C861DA">
        <w:t xml:space="preserve">It </w:t>
      </w:r>
      <w:r w:rsidR="00670CEC">
        <w:t xml:space="preserve">is a customs facility established at the seaport for purposes of storage, examination, stripping, stuffing, and safekeeping of imported cargoes. </w:t>
      </w:r>
    </w:p>
    <w:p w:rsidR="008A7E17" w:rsidRDefault="008A7E17" w:rsidP="005247BF">
      <w:pPr>
        <w:pStyle w:val="NoSpacing1"/>
        <w:numPr>
          <w:ilvl w:val="255"/>
          <w:numId w:val="0"/>
        </w:numPr>
        <w:tabs>
          <w:tab w:val="left" w:pos="1080"/>
        </w:tabs>
        <w:ind w:left="2160"/>
        <w:jc w:val="both"/>
        <w:rPr>
          <w:rFonts w:ascii="Tahoma" w:hAnsi="Tahoma" w:cs="Tahoma"/>
          <w:color w:val="000000" w:themeColor="text1"/>
          <w:sz w:val="24"/>
          <w:szCs w:val="24"/>
        </w:rPr>
      </w:pPr>
    </w:p>
    <w:p w:rsidR="008A7E17" w:rsidRDefault="00670CEC" w:rsidP="005247BF">
      <w:pPr>
        <w:pStyle w:val="Heading3"/>
      </w:pPr>
      <w:r>
        <w:rPr>
          <w:b/>
        </w:rPr>
        <w:t>Airport Temporary Storage Warehouse</w:t>
      </w:r>
      <w:r w:rsidR="00C861DA">
        <w:rPr>
          <w:b/>
        </w:rPr>
        <w:t xml:space="preserve">. </w:t>
      </w:r>
      <w:r w:rsidR="00C861DA" w:rsidRPr="005247BF">
        <w:t>It</w:t>
      </w:r>
      <w:r>
        <w:t xml:space="preserve"> is a customs facility established at the airport for purposes of storage, examination, stripping, stuffing, and safekeeping of imported cargoes.</w:t>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Heading2"/>
      </w:pPr>
      <w:r>
        <w:rPr>
          <w:b/>
        </w:rPr>
        <w:t>Issuance of Authority to Operate</w:t>
      </w:r>
      <w:r w:rsidR="00FE3009" w:rsidRPr="005247BF">
        <w:rPr>
          <w:b/>
        </w:rPr>
        <w:t>.</w:t>
      </w:r>
      <w:r w:rsidR="00FE3009">
        <w:t xml:space="preserve"> </w:t>
      </w:r>
      <w:r>
        <w:t xml:space="preserve">The </w:t>
      </w:r>
      <w:r w:rsidR="00C347A8">
        <w:t xml:space="preserve">Bureau </w:t>
      </w:r>
      <w:r>
        <w:t>shall be responsible for</w:t>
      </w:r>
      <w:r w:rsidR="00FE3009">
        <w:t xml:space="preserve"> </w:t>
      </w:r>
      <w:r>
        <w:t>the issuance of an authority to operate CBWs and CFWs, including the imposition of different sets of requirements for their establishment and operation, setting forth the rights and obligations of operators, and the penalties and sanctions for violation of these rules.</w:t>
      </w:r>
    </w:p>
    <w:p w:rsidR="008A7E17" w:rsidRDefault="008A7E17" w:rsidP="005247BF">
      <w:pPr>
        <w:pStyle w:val="Heading2"/>
        <w:numPr>
          <w:ilvl w:val="0"/>
          <w:numId w:val="0"/>
        </w:numPr>
        <w:ind w:left="1620"/>
      </w:pPr>
    </w:p>
    <w:p w:rsidR="00FE3009" w:rsidRDefault="00670CEC" w:rsidP="005247BF">
      <w:pPr>
        <w:pStyle w:val="Heading2"/>
      </w:pPr>
      <w:proofErr w:type="spellStart"/>
      <w:r>
        <w:rPr>
          <w:b/>
        </w:rPr>
        <w:t>Lodgement</w:t>
      </w:r>
      <w:proofErr w:type="spellEnd"/>
      <w:r>
        <w:rPr>
          <w:b/>
        </w:rPr>
        <w:t xml:space="preserve"> and Clearance </w:t>
      </w:r>
      <w:r w:rsidRPr="00EB0364">
        <w:rPr>
          <w:b/>
        </w:rPr>
        <w:t>Procedure</w:t>
      </w:r>
      <w:r w:rsidR="00FE3009" w:rsidRPr="005247BF">
        <w:rPr>
          <w:b/>
        </w:rPr>
        <w:t>.</w:t>
      </w:r>
      <w:r w:rsidR="00FE3009">
        <w:rPr>
          <w:b/>
        </w:rPr>
        <w:t xml:space="preserve"> </w:t>
      </w:r>
      <w:r>
        <w:t xml:space="preserve">The Commissioner shall issue rules and regulations governing the </w:t>
      </w:r>
      <w:proofErr w:type="spellStart"/>
      <w:r>
        <w:t>lodgement</w:t>
      </w:r>
      <w:proofErr w:type="spellEnd"/>
      <w:r>
        <w:t>, processing and clearance of imported goods entered through CBWs and CFWs.</w:t>
      </w:r>
    </w:p>
    <w:p w:rsidR="00C856A3" w:rsidRDefault="00C856A3" w:rsidP="005247BF">
      <w:pPr>
        <w:pStyle w:val="Heading2"/>
        <w:numPr>
          <w:ilvl w:val="0"/>
          <w:numId w:val="0"/>
        </w:numPr>
        <w:ind w:left="1620"/>
      </w:pPr>
    </w:p>
    <w:p w:rsidR="008A7E17" w:rsidRPr="004210CC" w:rsidRDefault="00C856A3" w:rsidP="005247BF">
      <w:pPr>
        <w:pStyle w:val="Heading2"/>
      </w:pPr>
      <w:r>
        <w:rPr>
          <w:b/>
        </w:rPr>
        <w:t>Assignment of Personne</w:t>
      </w:r>
      <w:r w:rsidRPr="00EB0364">
        <w:rPr>
          <w:b/>
        </w:rPr>
        <w:t>l</w:t>
      </w:r>
      <w:r w:rsidR="00FE3009" w:rsidRPr="005247BF">
        <w:rPr>
          <w:b/>
        </w:rPr>
        <w:t>.</w:t>
      </w:r>
      <w:r w:rsidR="00FE3009">
        <w:t xml:space="preserve"> </w:t>
      </w:r>
      <w:r>
        <w:t xml:space="preserve">In pursuit of its supervisory and control functions over </w:t>
      </w:r>
      <w:r w:rsidRPr="007E053F">
        <w:t xml:space="preserve">CBWs and CFWs, </w:t>
      </w:r>
      <w:r>
        <w:t>the shall assign customs personnel to monitor and implement control measures therein for customs purposes, in accordance with its existing organizational structure and staffing pattern</w:t>
      </w:r>
      <w:r w:rsidR="008F5CF9">
        <w:t>.</w:t>
      </w:r>
      <w:r w:rsidR="008F5CF9">
        <w:rPr>
          <w:rStyle w:val="FootnoteReference"/>
        </w:rPr>
        <w:footnoteReference w:id="25"/>
      </w:r>
    </w:p>
    <w:p w:rsidR="008A7E17" w:rsidRDefault="008A7E17" w:rsidP="005247BF">
      <w:pPr>
        <w:pStyle w:val="Heading2"/>
        <w:numPr>
          <w:ilvl w:val="0"/>
          <w:numId w:val="0"/>
        </w:numPr>
        <w:ind w:left="1620"/>
        <w:rPr>
          <w:b/>
        </w:rPr>
      </w:pPr>
    </w:p>
    <w:p w:rsidR="008A7E17" w:rsidRDefault="00670CEC" w:rsidP="005247BF">
      <w:pPr>
        <w:pStyle w:val="Heading2"/>
      </w:pPr>
      <w:r w:rsidRPr="005247BF">
        <w:rPr>
          <w:b/>
        </w:rPr>
        <w:t>Creation or Dissolution of Customs Warehouses</w:t>
      </w:r>
      <w:r w:rsidR="00FE3009">
        <w:rPr>
          <w:b/>
        </w:rPr>
        <w:t xml:space="preserve">. </w:t>
      </w:r>
      <w:r w:rsidR="00FE3009">
        <w:t>The Secretary of Finance may, upon the recommendation of the Commissioner, create or dissolve certain types of warehouses subject to consultation with the National Economic and Development Authority (NEDA) and the Department of Trade and Industry (DTI) based on prevailing economic circumstances.</w:t>
      </w:r>
      <w:r w:rsidR="008F5CF9">
        <w:rPr>
          <w:rStyle w:val="FootnoteReference"/>
        </w:rPr>
        <w:footnoteReference w:id="26"/>
      </w:r>
    </w:p>
    <w:p w:rsidR="008A7E17" w:rsidRPr="005247BF" w:rsidRDefault="00712CDB" w:rsidP="005247BF">
      <w:pPr>
        <w:pStyle w:val="Heading1"/>
      </w:pPr>
      <w:r w:rsidRPr="005247BF">
        <w:rPr>
          <w:u w:val="single"/>
        </w:rPr>
        <w:t>Customs Bonded Warehouse</w:t>
      </w:r>
      <w:r w:rsidRPr="00A3264D">
        <w:t>.</w:t>
      </w:r>
    </w:p>
    <w:p w:rsidR="00712CDB" w:rsidRPr="005247BF" w:rsidRDefault="00712CDB" w:rsidP="005247BF">
      <w:pPr>
        <w:spacing w:after="0"/>
      </w:pPr>
    </w:p>
    <w:p w:rsidR="008A7E17" w:rsidRPr="00FA2148" w:rsidRDefault="00670CEC" w:rsidP="005247BF">
      <w:pPr>
        <w:pStyle w:val="Heading2"/>
        <w:ind w:left="1530" w:hanging="540"/>
        <w:rPr>
          <w:b/>
        </w:rPr>
      </w:pPr>
      <w:r w:rsidRPr="005247BF">
        <w:rPr>
          <w:b/>
        </w:rPr>
        <w:t>Application for the Establishment or Renewal of Authority</w:t>
      </w:r>
      <w:r w:rsidR="00607F56" w:rsidRPr="00EB0364">
        <w:rPr>
          <w:b/>
        </w:rPr>
        <w:t xml:space="preserve"> </w:t>
      </w:r>
      <w:r w:rsidRPr="00FA2148">
        <w:rPr>
          <w:b/>
        </w:rPr>
        <w:t>to</w:t>
      </w:r>
      <w:r w:rsidR="00907884">
        <w:rPr>
          <w:b/>
        </w:rPr>
        <w:t xml:space="preserve"> </w:t>
      </w:r>
      <w:r w:rsidRPr="00FA2148">
        <w:rPr>
          <w:b/>
        </w:rPr>
        <w:t>Operate a Customs Bonded Warehouse</w:t>
      </w:r>
      <w:r w:rsidR="00FA2148" w:rsidRPr="005247BF">
        <w:rPr>
          <w:b/>
        </w:rPr>
        <w:t>.</w:t>
      </w: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670CEC" w:rsidP="005247BF">
      <w:pPr>
        <w:pStyle w:val="Heading3"/>
      </w:pPr>
      <w:r>
        <w:rPr>
          <w:b/>
        </w:rPr>
        <w:t>Application for Authority to Operate a CBW</w:t>
      </w:r>
      <w:r w:rsidR="00FA2148">
        <w:rPr>
          <w:b/>
        </w:rPr>
        <w:t>.</w:t>
      </w:r>
      <w:r>
        <w:t xml:space="preserve"> The </w:t>
      </w:r>
      <w:r w:rsidR="003E2745">
        <w:t>a</w:t>
      </w:r>
      <w:r>
        <w:t xml:space="preserve">pplication to operate a CBW, </w:t>
      </w:r>
      <w:r w:rsidR="00066D7B">
        <w:t>includin</w:t>
      </w:r>
      <w:r>
        <w:t>g applications for accreditation as member, subcontractor or client</w:t>
      </w:r>
      <w:r w:rsidR="0053728A">
        <w:t xml:space="preserve"> and </w:t>
      </w:r>
      <w:r>
        <w:t xml:space="preserve">end-user of an existing </w:t>
      </w:r>
      <w:r>
        <w:lastRenderedPageBreak/>
        <w:t>warehouse, shall be filed with the District Collector where the CBW is located, describing the premises, location, capacity, and purpose of such establishment.</w:t>
      </w:r>
      <w:r w:rsidR="00725C56">
        <w:rPr>
          <w:rStyle w:val="FootnoteReference"/>
        </w:rPr>
        <w:footnoteReference w:id="27"/>
      </w:r>
      <w:r>
        <w:t xml:space="preserve"> </w:t>
      </w:r>
    </w:p>
    <w:p w:rsidR="008A7E17" w:rsidRPr="005247BF"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Heading3"/>
      </w:pPr>
      <w:r w:rsidRPr="005247BF">
        <w:rPr>
          <w:b/>
        </w:rPr>
        <w:t xml:space="preserve"> Documentary Requirements</w:t>
      </w:r>
      <w:r w:rsidR="00FA2148">
        <w:rPr>
          <w:b/>
        </w:rPr>
        <w:t xml:space="preserve">. </w:t>
      </w:r>
      <w:r>
        <w:t>Any person or firm desiring to establish and operate a CBW shall submit the following documents:</w:t>
      </w:r>
    </w:p>
    <w:p w:rsidR="008A7E17" w:rsidRDefault="008A7E17" w:rsidP="005247BF">
      <w:pPr>
        <w:pStyle w:val="ListParagraph1"/>
        <w:tabs>
          <w:tab w:val="left" w:pos="1080"/>
        </w:tabs>
        <w:spacing w:after="0" w:line="240" w:lineRule="auto"/>
        <w:ind w:left="1980"/>
        <w:jc w:val="both"/>
        <w:rPr>
          <w:rFonts w:ascii="Tahoma" w:hAnsi="Tahoma" w:cs="Tahoma"/>
          <w:sz w:val="24"/>
          <w:szCs w:val="24"/>
        </w:rPr>
      </w:pPr>
    </w:p>
    <w:p w:rsidR="006A6209" w:rsidRDefault="008904E9" w:rsidP="005247BF">
      <w:pPr>
        <w:pStyle w:val="SubLettering"/>
        <w:numPr>
          <w:ilvl w:val="0"/>
          <w:numId w:val="41"/>
        </w:numPr>
      </w:pPr>
      <w:r>
        <w:t xml:space="preserve">Certified Copy of </w:t>
      </w:r>
      <w:r w:rsidR="00670CEC">
        <w:t>Articles of Incorporation</w:t>
      </w:r>
      <w:r w:rsidR="006A6209">
        <w:t xml:space="preserve"> or Articles of Partnership, and by-laws</w:t>
      </w:r>
      <w:r>
        <w:t>;</w:t>
      </w:r>
    </w:p>
    <w:p w:rsidR="006A6209" w:rsidRDefault="00670CEC" w:rsidP="005247BF">
      <w:pPr>
        <w:pStyle w:val="SubLettering"/>
        <w:numPr>
          <w:ilvl w:val="0"/>
          <w:numId w:val="41"/>
        </w:numPr>
      </w:pPr>
      <w:r>
        <w:t>D</w:t>
      </w:r>
      <w:r w:rsidR="00C20547">
        <w:t xml:space="preserve">epartment of </w:t>
      </w:r>
      <w:r>
        <w:t>T</w:t>
      </w:r>
      <w:r w:rsidR="00C20547">
        <w:t xml:space="preserve">rade and </w:t>
      </w:r>
      <w:r>
        <w:t>I</w:t>
      </w:r>
      <w:r w:rsidR="00C20547">
        <w:t>ndustry (DTI)</w:t>
      </w:r>
      <w:r>
        <w:t xml:space="preserve"> Certificate of Business Registration</w:t>
      </w:r>
      <w:r w:rsidR="006A6209">
        <w:t xml:space="preserve"> for sole</w:t>
      </w:r>
      <w:r w:rsidR="00FB6CB9">
        <w:t xml:space="preserve"> </w:t>
      </w:r>
      <w:r w:rsidR="006A6209">
        <w:t>proprietorship;</w:t>
      </w:r>
    </w:p>
    <w:p w:rsidR="004F598C" w:rsidRPr="004F598C" w:rsidRDefault="004F598C" w:rsidP="005247BF">
      <w:pPr>
        <w:pStyle w:val="SubLettering"/>
        <w:numPr>
          <w:ilvl w:val="0"/>
          <w:numId w:val="41"/>
        </w:numPr>
      </w:pPr>
      <w:r>
        <w:t>Certified True Copy (CTC) of Mayor’s Permit;</w:t>
      </w:r>
    </w:p>
    <w:p w:rsidR="006A6209" w:rsidRDefault="00745A5F" w:rsidP="005247BF">
      <w:pPr>
        <w:pStyle w:val="SubLettering"/>
        <w:numPr>
          <w:ilvl w:val="0"/>
          <w:numId w:val="41"/>
        </w:numPr>
      </w:pPr>
      <w:r>
        <w:t>Certificate of B</w:t>
      </w:r>
      <w:r w:rsidR="00F479B6">
        <w:t xml:space="preserve">ureau of </w:t>
      </w:r>
      <w:r>
        <w:t>I</w:t>
      </w:r>
      <w:r w:rsidR="00F479B6">
        <w:t xml:space="preserve">nternal </w:t>
      </w:r>
      <w:r>
        <w:t>R</w:t>
      </w:r>
      <w:r w:rsidR="00F479B6">
        <w:t>evenue (BIR)</w:t>
      </w:r>
      <w:r>
        <w:t xml:space="preserve"> Registration</w:t>
      </w:r>
      <w:r w:rsidR="006A6209">
        <w:t>;</w:t>
      </w:r>
    </w:p>
    <w:p w:rsidR="00791935" w:rsidRDefault="00745A5F" w:rsidP="005247BF">
      <w:pPr>
        <w:pStyle w:val="SubLettering"/>
        <w:numPr>
          <w:ilvl w:val="0"/>
          <w:numId w:val="41"/>
        </w:numPr>
      </w:pPr>
      <w:r>
        <w:t xml:space="preserve">Income Tax Return (ITR) and </w:t>
      </w:r>
      <w:r w:rsidR="00791935">
        <w:t xml:space="preserve">Latest </w:t>
      </w:r>
      <w:r w:rsidR="00441859">
        <w:t xml:space="preserve">Audited </w:t>
      </w:r>
      <w:r w:rsidR="006A6209">
        <w:t>Fina</w:t>
      </w:r>
      <w:r w:rsidR="00441859">
        <w:t>ncial Statement</w:t>
      </w:r>
      <w:r>
        <w:t>, if applicable</w:t>
      </w:r>
      <w:r w:rsidR="00441859">
        <w:t>;</w:t>
      </w:r>
    </w:p>
    <w:p w:rsidR="00845C91" w:rsidRDefault="00723D9E" w:rsidP="005247BF">
      <w:pPr>
        <w:pStyle w:val="SubLettering"/>
      </w:pPr>
      <w:r>
        <w:t xml:space="preserve">Warehouse </w:t>
      </w:r>
      <w:r w:rsidR="00612C11">
        <w:t>l</w:t>
      </w:r>
      <w:r w:rsidR="00670CEC">
        <w:t xml:space="preserve">ocation </w:t>
      </w:r>
      <w:r w:rsidR="00845C91">
        <w:t>or vicinity map showing</w:t>
      </w:r>
      <w:r w:rsidR="001459D1">
        <w:t xml:space="preserve"> the area of and means of access to the real property</w:t>
      </w:r>
      <w:r w:rsidR="00845C91">
        <w:t>;</w:t>
      </w:r>
    </w:p>
    <w:p w:rsidR="00845C91" w:rsidRDefault="00723D9E" w:rsidP="005247BF">
      <w:pPr>
        <w:pStyle w:val="SubLettering"/>
        <w:numPr>
          <w:ilvl w:val="0"/>
          <w:numId w:val="41"/>
        </w:numPr>
      </w:pPr>
      <w:r>
        <w:t>Warehouse</w:t>
      </w:r>
      <w:r w:rsidR="00845C91">
        <w:t xml:space="preserve"> </w:t>
      </w:r>
      <w:r w:rsidR="00670CEC">
        <w:t xml:space="preserve">layout </w:t>
      </w:r>
      <w:r w:rsidR="00845C91">
        <w:t>showing and describing the following:</w:t>
      </w:r>
    </w:p>
    <w:p w:rsidR="00845C91" w:rsidRDefault="001459D1" w:rsidP="005247BF">
      <w:pPr>
        <w:pStyle w:val="SubLettering"/>
        <w:numPr>
          <w:ilvl w:val="0"/>
          <w:numId w:val="41"/>
        </w:numPr>
      </w:pPr>
      <w:r>
        <w:t xml:space="preserve">Floor </w:t>
      </w:r>
      <w:r w:rsidR="00723D9E">
        <w:t>plan</w:t>
      </w:r>
      <w:r>
        <w:t xml:space="preserve"> and </w:t>
      </w:r>
      <w:r w:rsidR="00723D9E">
        <w:t xml:space="preserve">building </w:t>
      </w:r>
      <w:r>
        <w:t>structure</w:t>
      </w:r>
      <w:r w:rsidR="00845C91">
        <w:t xml:space="preserve"> </w:t>
      </w:r>
      <w:r w:rsidR="00670CEC">
        <w:t>of</w:t>
      </w:r>
      <w:r w:rsidR="00845C91">
        <w:t xml:space="preserve"> the proposed</w:t>
      </w:r>
      <w:r w:rsidR="00670CEC">
        <w:t xml:space="preserve"> </w:t>
      </w:r>
      <w:r w:rsidR="00723D9E">
        <w:t>CBW</w:t>
      </w:r>
      <w:r w:rsidR="00845C91">
        <w:t>;</w:t>
      </w:r>
    </w:p>
    <w:p w:rsidR="00845C91" w:rsidRDefault="00845C91" w:rsidP="005247BF">
      <w:pPr>
        <w:pStyle w:val="SubLettering"/>
        <w:numPr>
          <w:ilvl w:val="0"/>
          <w:numId w:val="41"/>
        </w:numPr>
      </w:pPr>
      <w:r>
        <w:t>Storage areas for raw materials, finished products and wastages;</w:t>
      </w:r>
    </w:p>
    <w:p w:rsidR="00845C91" w:rsidRDefault="00845C91" w:rsidP="005247BF">
      <w:pPr>
        <w:pStyle w:val="SubLettering"/>
        <w:numPr>
          <w:ilvl w:val="0"/>
          <w:numId w:val="41"/>
        </w:numPr>
      </w:pPr>
      <w:r>
        <w:t>Production area;</w:t>
      </w:r>
    </w:p>
    <w:p w:rsidR="00CD46AA" w:rsidRDefault="00845C91" w:rsidP="005247BF">
      <w:pPr>
        <w:pStyle w:val="SubLettering"/>
        <w:numPr>
          <w:ilvl w:val="0"/>
          <w:numId w:val="41"/>
        </w:numPr>
      </w:pPr>
      <w:r>
        <w:t>Office space</w:t>
      </w:r>
      <w:r w:rsidR="00A554F5">
        <w:t>s</w:t>
      </w:r>
      <w:r>
        <w:t xml:space="preserve"> for </w:t>
      </w:r>
      <w:r w:rsidR="00A554F5">
        <w:t xml:space="preserve">both CBW and </w:t>
      </w:r>
      <w:r>
        <w:t>customs personnel</w:t>
      </w:r>
      <w:r w:rsidR="00A554F5">
        <w:t>;</w:t>
      </w:r>
      <w:r w:rsidR="00CD46AA">
        <w:t xml:space="preserve"> and</w:t>
      </w:r>
    </w:p>
    <w:p w:rsidR="008A7E17" w:rsidRDefault="00CD46AA" w:rsidP="005247BF">
      <w:pPr>
        <w:pStyle w:val="SubLettering"/>
        <w:numPr>
          <w:ilvl w:val="0"/>
          <w:numId w:val="41"/>
        </w:numPr>
      </w:pPr>
      <w:r>
        <w:t>Physical security features</w:t>
      </w:r>
      <w:r w:rsidR="006551FA">
        <w:t>;</w:t>
      </w:r>
    </w:p>
    <w:p w:rsidR="00845C91" w:rsidRDefault="00845C91" w:rsidP="005247BF">
      <w:pPr>
        <w:pStyle w:val="SubLettering"/>
        <w:numPr>
          <w:ilvl w:val="0"/>
          <w:numId w:val="41"/>
        </w:numPr>
      </w:pPr>
      <w:r>
        <w:t xml:space="preserve">Lease contract or title to the </w:t>
      </w:r>
      <w:r w:rsidR="002C0D65">
        <w:t>real p</w:t>
      </w:r>
      <w:r>
        <w:t>roperty</w:t>
      </w:r>
      <w:r w:rsidR="00C20547">
        <w:t>;</w:t>
      </w:r>
    </w:p>
    <w:p w:rsidR="007C126E" w:rsidRDefault="00845C91" w:rsidP="005247BF">
      <w:pPr>
        <w:pStyle w:val="SubLettering"/>
        <w:numPr>
          <w:ilvl w:val="0"/>
          <w:numId w:val="41"/>
        </w:numPr>
      </w:pPr>
      <w:r>
        <w:t>List of machineries and equipment</w:t>
      </w:r>
      <w:r w:rsidR="007C126E">
        <w:t>;</w:t>
      </w:r>
    </w:p>
    <w:p w:rsidR="0024697C" w:rsidRDefault="0024697C" w:rsidP="005247BF">
      <w:pPr>
        <w:pStyle w:val="SubLettering"/>
        <w:numPr>
          <w:ilvl w:val="0"/>
          <w:numId w:val="41"/>
        </w:numPr>
      </w:pPr>
      <w:r>
        <w:t>Feasibility study;</w:t>
      </w:r>
    </w:p>
    <w:p w:rsidR="007C126E" w:rsidRDefault="007C126E" w:rsidP="005247BF">
      <w:pPr>
        <w:pStyle w:val="SubLettering"/>
        <w:numPr>
          <w:ilvl w:val="0"/>
          <w:numId w:val="41"/>
        </w:numPr>
      </w:pPr>
      <w:r>
        <w:t>List of materials to be imported;</w:t>
      </w:r>
    </w:p>
    <w:p w:rsidR="00845C91" w:rsidRPr="00C20547" w:rsidRDefault="007C126E" w:rsidP="005247BF">
      <w:pPr>
        <w:pStyle w:val="SubLettering"/>
        <w:numPr>
          <w:ilvl w:val="0"/>
          <w:numId w:val="41"/>
        </w:numPr>
      </w:pPr>
      <w:r>
        <w:t>Formula of Manufacture</w:t>
      </w:r>
      <w:r w:rsidR="00A554F5">
        <w:t>, if applicable;</w:t>
      </w:r>
      <w:r>
        <w:t xml:space="preserve"> </w:t>
      </w:r>
      <w:r w:rsidR="00A554F5">
        <w:t>and,</w:t>
      </w:r>
    </w:p>
    <w:p w:rsidR="00085B46" w:rsidRDefault="00F4015A" w:rsidP="005247BF">
      <w:pPr>
        <w:pStyle w:val="SubLettering"/>
      </w:pPr>
      <w:r w:rsidRPr="005247BF">
        <w:rPr>
          <w:color w:val="auto"/>
        </w:rPr>
        <w:lastRenderedPageBreak/>
        <w:t xml:space="preserve">Other </w:t>
      </w:r>
      <w:r w:rsidR="00670CEC">
        <w:t>documents</w:t>
      </w:r>
      <w:r w:rsidR="00A554F5">
        <w:t>,</w:t>
      </w:r>
      <w:r w:rsidR="00670CEC">
        <w:t xml:space="preserve"> </w:t>
      </w:r>
      <w:r w:rsidR="00A554F5">
        <w:t xml:space="preserve">as may be applicable, </w:t>
      </w:r>
      <w:r w:rsidR="00670CEC">
        <w:t xml:space="preserve">such as BOI, DTI, Freeport Authority, PEZA and other </w:t>
      </w:r>
      <w:r w:rsidR="00A554F5">
        <w:t xml:space="preserve">government </w:t>
      </w:r>
      <w:r w:rsidR="00670CEC">
        <w:t>agency endorsement</w:t>
      </w:r>
      <w:r>
        <w:t>. F</w:t>
      </w:r>
      <w:r w:rsidR="00670CEC">
        <w:t>avorable endorsements from the relevant business industry association</w:t>
      </w:r>
      <w:r>
        <w:t xml:space="preserve"> and </w:t>
      </w:r>
      <w:r w:rsidR="00670CEC">
        <w:t xml:space="preserve">federation may </w:t>
      </w:r>
      <w:r>
        <w:t xml:space="preserve">also </w:t>
      </w:r>
      <w:r w:rsidR="00670CEC">
        <w:t xml:space="preserve">be submitted in support of the application. </w:t>
      </w:r>
      <w:r w:rsidR="00725C56">
        <w:rPr>
          <w:rStyle w:val="FootnoteReference"/>
        </w:rPr>
        <w:footnoteReference w:id="28"/>
      </w:r>
    </w:p>
    <w:p w:rsidR="008A7E17" w:rsidRPr="005247BF" w:rsidRDefault="00085B46" w:rsidP="005247BF">
      <w:pPr>
        <w:pStyle w:val="Heading3"/>
        <w:numPr>
          <w:ilvl w:val="0"/>
          <w:numId w:val="0"/>
        </w:numPr>
        <w:ind w:left="2430"/>
        <w:rPr>
          <w:b/>
        </w:rPr>
      </w:pPr>
      <w:r w:rsidRPr="00FA2148" w:rsidDel="00725C56">
        <w:t xml:space="preserve"> </w:t>
      </w:r>
    </w:p>
    <w:p w:rsidR="008A7E17" w:rsidRPr="005247BF" w:rsidRDefault="00670CEC" w:rsidP="005247BF">
      <w:pPr>
        <w:pStyle w:val="Heading3"/>
        <w:rPr>
          <w:color w:val="FF0000"/>
        </w:rPr>
      </w:pPr>
      <w:r w:rsidRPr="005247BF">
        <w:rPr>
          <w:b/>
          <w:color w:val="auto"/>
        </w:rPr>
        <w:t xml:space="preserve">BOC </w:t>
      </w:r>
      <w:r w:rsidR="00D53111">
        <w:rPr>
          <w:b/>
        </w:rPr>
        <w:t xml:space="preserve">Certificate of </w:t>
      </w:r>
      <w:r>
        <w:rPr>
          <w:b/>
        </w:rPr>
        <w:t>Accreditation</w:t>
      </w:r>
      <w:r w:rsidR="00FA2148" w:rsidRPr="005247BF">
        <w:rPr>
          <w:b/>
        </w:rPr>
        <w:t>.</w:t>
      </w:r>
      <w:r w:rsidR="00FA2148">
        <w:t xml:space="preserve"> </w:t>
      </w:r>
      <w:r>
        <w:t xml:space="preserve">In case the applicant is already a </w:t>
      </w:r>
      <w:r w:rsidRPr="005247BF">
        <w:rPr>
          <w:color w:val="auto"/>
        </w:rPr>
        <w:t xml:space="preserve">BOC </w:t>
      </w:r>
      <w:r>
        <w:t xml:space="preserve">accredited importer, the </w:t>
      </w:r>
      <w:r w:rsidRPr="005247BF">
        <w:rPr>
          <w:color w:val="auto"/>
        </w:rPr>
        <w:t xml:space="preserve">BOC </w:t>
      </w:r>
      <w:r w:rsidR="00CD22F0" w:rsidRPr="005247BF">
        <w:t>Certificate of Accreditation</w:t>
      </w:r>
      <w:r w:rsidR="00CD22F0">
        <w:t xml:space="preserve"> </w:t>
      </w:r>
      <w:r>
        <w:t>shall be submitted together with the application.</w:t>
      </w:r>
      <w:r w:rsidR="00281F5E">
        <w:rPr>
          <w:rStyle w:val="FootnoteReference"/>
        </w:rPr>
        <w:footnoteReference w:id="29"/>
      </w:r>
    </w:p>
    <w:p w:rsidR="008A7E17" w:rsidRDefault="008A7E17" w:rsidP="005247BF">
      <w:pPr>
        <w:pStyle w:val="ListParagraph1"/>
        <w:tabs>
          <w:tab w:val="left" w:pos="1080"/>
        </w:tabs>
        <w:spacing w:after="0" w:line="240" w:lineRule="auto"/>
        <w:ind w:leftChars="654" w:left="1439" w:firstLineChars="41" w:firstLine="99"/>
        <w:jc w:val="both"/>
        <w:rPr>
          <w:rFonts w:ascii="Tahoma" w:hAnsi="Tahoma" w:cs="Tahoma"/>
          <w:b/>
          <w:color w:val="000000" w:themeColor="text1"/>
          <w:sz w:val="24"/>
          <w:szCs w:val="24"/>
        </w:rPr>
      </w:pPr>
    </w:p>
    <w:p w:rsidR="00B874B2" w:rsidRPr="00A3264D" w:rsidRDefault="00670CEC" w:rsidP="005247BF">
      <w:pPr>
        <w:pStyle w:val="Heading3"/>
        <w:spacing w:after="240"/>
      </w:pPr>
      <w:r>
        <w:rPr>
          <w:b/>
        </w:rPr>
        <w:t>Evaluation of the Application.</w:t>
      </w:r>
      <w:r w:rsidR="00FA2148">
        <w:rPr>
          <w:b/>
        </w:rPr>
        <w:t xml:space="preserve"> </w:t>
      </w:r>
      <w:r>
        <w:t>The District Collector of the Port shall</w:t>
      </w:r>
      <w:r w:rsidR="00283ABF">
        <w:t>:</w:t>
      </w:r>
    </w:p>
    <w:p w:rsidR="00283ABF" w:rsidRDefault="00283ABF" w:rsidP="005247BF">
      <w:pPr>
        <w:pStyle w:val="SubLettering"/>
        <w:numPr>
          <w:ilvl w:val="0"/>
          <w:numId w:val="40"/>
        </w:numPr>
      </w:pPr>
      <w:r>
        <w:t>Determine the completeness of the documents submitted in support of the application;</w:t>
      </w:r>
    </w:p>
    <w:p w:rsidR="00674733" w:rsidRPr="005247BF" w:rsidRDefault="00674733" w:rsidP="005247BF">
      <w:pPr>
        <w:pStyle w:val="SubLettering"/>
        <w:rPr>
          <w:color w:val="FF0000"/>
        </w:rPr>
      </w:pPr>
      <w:r>
        <w:t>Cause the conduct of p</w:t>
      </w:r>
      <w:r w:rsidR="00670CEC">
        <w:t>hysical inspection of the premises</w:t>
      </w:r>
      <w:r>
        <w:t>;</w:t>
      </w:r>
    </w:p>
    <w:p w:rsidR="00674733" w:rsidRPr="005247BF" w:rsidRDefault="00674733" w:rsidP="005247BF">
      <w:pPr>
        <w:pStyle w:val="SubLettering"/>
        <w:rPr>
          <w:color w:val="FF0000"/>
        </w:rPr>
      </w:pPr>
      <w:r w:rsidRPr="005247BF">
        <w:rPr>
          <w:color w:val="auto"/>
        </w:rPr>
        <w:t xml:space="preserve">Evaluate and review the </w:t>
      </w:r>
      <w:r>
        <w:t xml:space="preserve">documents including the </w:t>
      </w:r>
      <w:r w:rsidRPr="005247BF">
        <w:rPr>
          <w:color w:val="auto"/>
        </w:rPr>
        <w:t xml:space="preserve">physical </w:t>
      </w:r>
      <w:r>
        <w:t>inspection report;</w:t>
      </w:r>
      <w:r w:rsidR="009A48D4">
        <w:t xml:space="preserve"> and,</w:t>
      </w:r>
    </w:p>
    <w:p w:rsidR="000415A6" w:rsidRPr="005247BF" w:rsidRDefault="009A48D4" w:rsidP="005247BF">
      <w:pPr>
        <w:pStyle w:val="SubLettering"/>
        <w:rPr>
          <w:color w:val="FF0000"/>
        </w:rPr>
      </w:pPr>
      <w:r>
        <w:t>Recommend to the Commissioner the approval of the application.</w:t>
      </w:r>
    </w:p>
    <w:p w:rsidR="009A48D4" w:rsidRDefault="000415A6" w:rsidP="005247BF">
      <w:pPr>
        <w:pStyle w:val="NoSpacing1"/>
        <w:tabs>
          <w:tab w:val="left" w:pos="1080"/>
        </w:tabs>
        <w:ind w:left="2430"/>
        <w:jc w:val="both"/>
        <w:rPr>
          <w:rFonts w:ascii="Tahoma" w:hAnsi="Tahoma" w:cs="Tahoma"/>
          <w:sz w:val="24"/>
          <w:szCs w:val="24"/>
        </w:rPr>
      </w:pPr>
      <w:r w:rsidRPr="005247BF">
        <w:rPr>
          <w:rFonts w:ascii="Tahoma" w:hAnsi="Tahoma" w:cs="Tahoma"/>
          <w:sz w:val="24"/>
          <w:szCs w:val="24"/>
        </w:rPr>
        <w:t xml:space="preserve">The District Collector may deny the application at any stage of the evaluation process in cases where the application is attended with fraud or the applicant does not meet the regulatory requirements to operate a CBW. </w:t>
      </w:r>
    </w:p>
    <w:p w:rsidR="005C6E5F" w:rsidRPr="005247BF" w:rsidRDefault="005C6E5F" w:rsidP="005247BF">
      <w:pPr>
        <w:pStyle w:val="NoSpacing1"/>
        <w:tabs>
          <w:tab w:val="left" w:pos="1080"/>
        </w:tabs>
        <w:ind w:left="2430"/>
        <w:jc w:val="both"/>
        <w:rPr>
          <w:rFonts w:ascii="Tahoma" w:hAnsi="Tahoma" w:cs="Tahoma"/>
          <w:color w:val="FF0000"/>
          <w:sz w:val="24"/>
          <w:szCs w:val="24"/>
        </w:rPr>
      </w:pPr>
    </w:p>
    <w:p w:rsidR="008A7E17" w:rsidRDefault="00477584" w:rsidP="005247BF">
      <w:pPr>
        <w:pStyle w:val="NoSpacing1"/>
        <w:tabs>
          <w:tab w:val="left" w:pos="1080"/>
        </w:tabs>
        <w:ind w:left="2430"/>
        <w:jc w:val="both"/>
        <w:rPr>
          <w:rFonts w:ascii="Tahoma" w:hAnsi="Tahoma" w:cs="Tahoma"/>
          <w:color w:val="FF0000"/>
          <w:sz w:val="24"/>
          <w:szCs w:val="24"/>
        </w:rPr>
      </w:pPr>
      <w:r>
        <w:rPr>
          <w:rFonts w:ascii="Tahoma" w:hAnsi="Tahoma" w:cs="Tahoma"/>
          <w:color w:val="000000" w:themeColor="text1"/>
          <w:sz w:val="24"/>
          <w:szCs w:val="24"/>
        </w:rPr>
        <w:t>The District Collec</w:t>
      </w:r>
      <w:bookmarkStart w:id="0" w:name="_GoBack"/>
      <w:bookmarkEnd w:id="0"/>
      <w:r>
        <w:rPr>
          <w:rFonts w:ascii="Tahoma" w:hAnsi="Tahoma" w:cs="Tahoma"/>
          <w:color w:val="000000" w:themeColor="text1"/>
          <w:sz w:val="24"/>
          <w:szCs w:val="24"/>
        </w:rPr>
        <w:t xml:space="preserve">tor shall </w:t>
      </w:r>
      <w:r w:rsidR="009004C1">
        <w:rPr>
          <w:rFonts w:ascii="Tahoma" w:hAnsi="Tahoma" w:cs="Tahoma"/>
          <w:color w:val="000000" w:themeColor="text1"/>
          <w:sz w:val="24"/>
          <w:szCs w:val="24"/>
        </w:rPr>
        <w:t xml:space="preserve">recommend </w:t>
      </w:r>
      <w:r>
        <w:rPr>
          <w:rFonts w:ascii="Tahoma" w:hAnsi="Tahoma" w:cs="Tahoma"/>
          <w:color w:val="000000" w:themeColor="text1"/>
          <w:sz w:val="24"/>
          <w:szCs w:val="24"/>
        </w:rPr>
        <w:t xml:space="preserve">approval or deny the </w:t>
      </w:r>
      <w:r w:rsidR="00670CEC">
        <w:rPr>
          <w:rFonts w:ascii="Tahoma" w:hAnsi="Tahoma" w:cs="Tahoma"/>
          <w:color w:val="000000" w:themeColor="text1"/>
          <w:sz w:val="24"/>
          <w:szCs w:val="24"/>
        </w:rPr>
        <w:t xml:space="preserve">application within </w:t>
      </w:r>
      <w:r w:rsidR="00283ABF">
        <w:rPr>
          <w:rFonts w:ascii="Tahoma" w:hAnsi="Tahoma" w:cs="Tahoma"/>
          <w:color w:val="000000" w:themeColor="text1"/>
          <w:sz w:val="24"/>
          <w:szCs w:val="24"/>
        </w:rPr>
        <w:t xml:space="preserve">thirty </w:t>
      </w:r>
      <w:r w:rsidR="00670CEC">
        <w:rPr>
          <w:rFonts w:ascii="Tahoma" w:hAnsi="Tahoma" w:cs="Tahoma"/>
          <w:color w:val="000000" w:themeColor="text1"/>
          <w:sz w:val="24"/>
          <w:szCs w:val="24"/>
        </w:rPr>
        <w:t>(</w:t>
      </w:r>
      <w:r w:rsidR="00283ABF">
        <w:rPr>
          <w:rFonts w:ascii="Tahoma" w:hAnsi="Tahoma" w:cs="Tahoma"/>
          <w:color w:val="000000" w:themeColor="text1"/>
          <w:sz w:val="24"/>
          <w:szCs w:val="24"/>
        </w:rPr>
        <w:t>3</w:t>
      </w:r>
      <w:r w:rsidR="00670CEC">
        <w:rPr>
          <w:rFonts w:ascii="Tahoma" w:hAnsi="Tahoma" w:cs="Tahoma"/>
          <w:color w:val="000000" w:themeColor="text1"/>
          <w:sz w:val="24"/>
          <w:szCs w:val="24"/>
        </w:rPr>
        <w:t xml:space="preserve">0) </w:t>
      </w:r>
      <w:r w:rsidR="000415A6">
        <w:rPr>
          <w:rFonts w:ascii="Tahoma" w:hAnsi="Tahoma" w:cs="Tahoma"/>
          <w:color w:val="000000" w:themeColor="text1"/>
          <w:sz w:val="24"/>
          <w:szCs w:val="24"/>
        </w:rPr>
        <w:t xml:space="preserve">working </w:t>
      </w:r>
      <w:r w:rsidR="00670CEC">
        <w:rPr>
          <w:rFonts w:ascii="Tahoma" w:hAnsi="Tahoma" w:cs="Tahoma"/>
          <w:color w:val="000000" w:themeColor="text1"/>
          <w:sz w:val="24"/>
          <w:szCs w:val="24"/>
        </w:rPr>
        <w:t xml:space="preserve">days from </w:t>
      </w:r>
      <w:r>
        <w:rPr>
          <w:rFonts w:ascii="Tahoma" w:hAnsi="Tahoma" w:cs="Tahoma"/>
          <w:color w:val="000000" w:themeColor="text1"/>
          <w:sz w:val="24"/>
          <w:szCs w:val="24"/>
        </w:rPr>
        <w:t xml:space="preserve">completion of </w:t>
      </w:r>
      <w:r w:rsidR="000415A6">
        <w:rPr>
          <w:rFonts w:ascii="Tahoma" w:hAnsi="Tahoma" w:cs="Tahoma"/>
          <w:color w:val="000000" w:themeColor="text1"/>
          <w:sz w:val="24"/>
          <w:szCs w:val="24"/>
        </w:rPr>
        <w:t>documents and inspection report</w:t>
      </w:r>
      <w:r w:rsidR="00283ABF">
        <w:rPr>
          <w:rFonts w:ascii="Tahoma" w:hAnsi="Tahoma" w:cs="Tahoma"/>
          <w:color w:val="000000" w:themeColor="text1"/>
          <w:sz w:val="24"/>
          <w:szCs w:val="24"/>
        </w:rPr>
        <w:t>.</w:t>
      </w:r>
    </w:p>
    <w:p w:rsidR="009A48D4" w:rsidRDefault="009A48D4" w:rsidP="005247BF">
      <w:pPr>
        <w:pStyle w:val="ListParagraph1"/>
        <w:tabs>
          <w:tab w:val="left" w:pos="1080"/>
        </w:tabs>
        <w:spacing w:after="0" w:line="240" w:lineRule="auto"/>
        <w:ind w:left="0"/>
        <w:jc w:val="both"/>
        <w:rPr>
          <w:rFonts w:ascii="Tahoma" w:hAnsi="Tahoma" w:cs="Tahoma"/>
          <w:b/>
          <w:color w:val="000000" w:themeColor="text1"/>
          <w:sz w:val="24"/>
          <w:szCs w:val="24"/>
        </w:rPr>
      </w:pPr>
    </w:p>
    <w:p w:rsidR="008A7E17" w:rsidRPr="005247BF" w:rsidRDefault="009004C1" w:rsidP="005247BF">
      <w:pPr>
        <w:pStyle w:val="Heading3"/>
        <w:rPr>
          <w:color w:val="FF0000"/>
        </w:rPr>
      </w:pPr>
      <w:r>
        <w:rPr>
          <w:b/>
        </w:rPr>
        <w:t xml:space="preserve">Recommendation for </w:t>
      </w:r>
      <w:r w:rsidR="00670CEC">
        <w:rPr>
          <w:b/>
        </w:rPr>
        <w:t>Approv</w:t>
      </w:r>
      <w:r>
        <w:rPr>
          <w:b/>
        </w:rPr>
        <w:t>al</w:t>
      </w:r>
      <w:r w:rsidR="00477584">
        <w:rPr>
          <w:b/>
        </w:rPr>
        <w:t xml:space="preserve"> or </w:t>
      </w:r>
      <w:r w:rsidR="00670CEC">
        <w:rPr>
          <w:b/>
        </w:rPr>
        <w:t>Denial of the Application by the District Collector</w:t>
      </w:r>
      <w:r w:rsidR="00FA2148" w:rsidRPr="005247BF">
        <w:rPr>
          <w:b/>
        </w:rPr>
        <w:t>.</w:t>
      </w:r>
      <w:r w:rsidR="00FA2148">
        <w:t xml:space="preserve"> </w:t>
      </w:r>
      <w:r w:rsidR="00670CEC">
        <w:t>In case the District Collector recommen</w:t>
      </w:r>
      <w:r>
        <w:t xml:space="preserve">ds </w:t>
      </w:r>
      <w:r w:rsidR="00670CEC">
        <w:t xml:space="preserve">the approval of the application, </w:t>
      </w:r>
      <w:r>
        <w:t xml:space="preserve">the same </w:t>
      </w:r>
      <w:r w:rsidR="00670CEC">
        <w:t xml:space="preserve">shall </w:t>
      </w:r>
      <w:r>
        <w:t xml:space="preserve">be </w:t>
      </w:r>
      <w:r w:rsidR="00670CEC">
        <w:t>forward</w:t>
      </w:r>
      <w:r>
        <w:t>ed</w:t>
      </w:r>
      <w:r w:rsidR="00670CEC">
        <w:t xml:space="preserve"> to the Commissioner</w:t>
      </w:r>
      <w:r>
        <w:t xml:space="preserve"> together with</w:t>
      </w:r>
      <w:r w:rsidR="00670CEC">
        <w:t xml:space="preserve"> the complete records</w:t>
      </w:r>
      <w:r>
        <w:t xml:space="preserve"> </w:t>
      </w:r>
      <w:r w:rsidR="00670CEC">
        <w:t xml:space="preserve">within five (5) days from </w:t>
      </w:r>
      <w:r w:rsidR="00E51B21">
        <w:t>such action</w:t>
      </w:r>
      <w:r w:rsidR="00670CEC">
        <w:t xml:space="preserve">. In case of denial, a letter shall be sent to the applicant stating clearly the reasons why the application </w:t>
      </w:r>
      <w:r w:rsidR="00E51B21">
        <w:t xml:space="preserve">is </w:t>
      </w:r>
      <w:r w:rsidR="00670CEC">
        <w:t xml:space="preserve">denied. </w:t>
      </w:r>
      <w:r w:rsidR="00CF11CC">
        <w:rPr>
          <w:rStyle w:val="FootnoteReference"/>
        </w:rPr>
        <w:footnoteReference w:id="30"/>
      </w:r>
    </w:p>
    <w:p w:rsidR="008A7E17" w:rsidRDefault="008A7E17" w:rsidP="005247BF">
      <w:pPr>
        <w:pStyle w:val="ListParagraph1"/>
        <w:tabs>
          <w:tab w:val="left" w:pos="1080"/>
        </w:tabs>
        <w:spacing w:after="0" w:line="240" w:lineRule="auto"/>
        <w:ind w:leftChars="654" w:left="1439" w:firstLineChars="41" w:firstLine="99"/>
        <w:jc w:val="both"/>
        <w:rPr>
          <w:rFonts w:ascii="Tahoma" w:hAnsi="Tahoma" w:cs="Tahoma"/>
          <w:b/>
          <w:color w:val="000000" w:themeColor="text1"/>
          <w:sz w:val="24"/>
          <w:szCs w:val="24"/>
        </w:rPr>
      </w:pPr>
    </w:p>
    <w:p w:rsidR="008A7E17" w:rsidRDefault="00670CEC" w:rsidP="005247BF">
      <w:pPr>
        <w:pStyle w:val="Heading3"/>
      </w:pPr>
      <w:r>
        <w:rPr>
          <w:b/>
        </w:rPr>
        <w:lastRenderedPageBreak/>
        <w:t>Review by the Commissioner</w:t>
      </w:r>
      <w:r w:rsidR="00FA2148" w:rsidRPr="005247BF">
        <w:rPr>
          <w:b/>
        </w:rPr>
        <w:t>.</w:t>
      </w:r>
      <w:r w:rsidR="00FA2148">
        <w:t xml:space="preserve"> </w:t>
      </w:r>
      <w:r>
        <w:t>The Commissioner</w:t>
      </w:r>
      <w:r w:rsidR="00BB0BF2">
        <w:t xml:space="preserve"> </w:t>
      </w:r>
      <w:r>
        <w:t xml:space="preserve">shall act on the application as </w:t>
      </w:r>
      <w:r w:rsidR="003162B5">
        <w:t xml:space="preserve">favorably </w:t>
      </w:r>
      <w:r>
        <w:t>endorsed by the District Collector within fifteen (15) days from receipt of such endorsement. The Commissioner may either approve or deny the recommendation of the District Collector.</w:t>
      </w:r>
      <w:r w:rsidR="00CF11CC">
        <w:rPr>
          <w:rStyle w:val="FootnoteReference"/>
        </w:rPr>
        <w:footnoteReference w:id="31"/>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8A7E17" w:rsidRDefault="00670CEC" w:rsidP="005247BF">
      <w:pPr>
        <w:pStyle w:val="Heading3"/>
      </w:pPr>
      <w:r>
        <w:rPr>
          <w:b/>
        </w:rPr>
        <w:t>Appeal</w:t>
      </w:r>
      <w:r w:rsidR="00FA2148" w:rsidRPr="005247BF">
        <w:rPr>
          <w:b/>
        </w:rPr>
        <w:t>.</w:t>
      </w:r>
      <w:r>
        <w:t xml:space="preserve"> The </w:t>
      </w:r>
      <w:r w:rsidR="003162B5">
        <w:t>a</w:t>
      </w:r>
      <w:r>
        <w:t xml:space="preserve">pplicant may appeal the denial of the application to establish or renew a CBW by filing a Notice of Appeal to the District Collector who denied such application within fifteen (15) days from receipt of the </w:t>
      </w:r>
      <w:r w:rsidR="003162B5">
        <w:t>letter of denial</w:t>
      </w:r>
      <w:r>
        <w:t>.</w:t>
      </w:r>
      <w:r w:rsidR="00CF11CC">
        <w:rPr>
          <w:rStyle w:val="FootnoteReference"/>
        </w:rPr>
        <w:footnoteReference w:id="32"/>
      </w:r>
    </w:p>
    <w:p w:rsidR="008A7E17" w:rsidRDefault="008A7E17" w:rsidP="005247BF">
      <w:pPr>
        <w:pStyle w:val="NoSpacing1"/>
        <w:numPr>
          <w:ilvl w:val="255"/>
          <w:numId w:val="0"/>
        </w:numPr>
        <w:tabs>
          <w:tab w:val="left" w:pos="1080"/>
        </w:tabs>
        <w:ind w:leftChars="654" w:left="1439" w:firstLineChars="41" w:firstLine="99"/>
        <w:jc w:val="both"/>
        <w:rPr>
          <w:rFonts w:ascii="Tahoma" w:hAnsi="Tahoma" w:cs="Tahoma"/>
          <w:b/>
          <w:color w:val="000000" w:themeColor="text1"/>
          <w:sz w:val="24"/>
          <w:szCs w:val="24"/>
        </w:rPr>
      </w:pPr>
    </w:p>
    <w:p w:rsidR="008A7E17" w:rsidRDefault="00670CEC" w:rsidP="005247BF">
      <w:pPr>
        <w:pStyle w:val="Heading3"/>
      </w:pPr>
      <w:r w:rsidRPr="005247BF">
        <w:rPr>
          <w:b/>
        </w:rPr>
        <w:t>Records of Appeal</w:t>
      </w:r>
      <w:r w:rsidR="00FA2148" w:rsidRPr="005247BF">
        <w:rPr>
          <w:b/>
        </w:rPr>
        <w:t>.</w:t>
      </w:r>
      <w:r w:rsidR="00FA2148">
        <w:t xml:space="preserve"> </w:t>
      </w:r>
      <w:r>
        <w:t xml:space="preserve">The District Collector shall forward the complete records of the application </w:t>
      </w:r>
      <w:r w:rsidR="00E26B27">
        <w:t xml:space="preserve">to the Commissioner </w:t>
      </w:r>
      <w:r>
        <w:t xml:space="preserve">within five (5) days from receipt of the Notice of Appeal. </w:t>
      </w:r>
      <w:r w:rsidR="00CF11CC">
        <w:rPr>
          <w:rStyle w:val="FootnoteReference"/>
        </w:rPr>
        <w:footnoteReference w:id="33"/>
      </w:r>
      <w:r w:rsidR="00CF11CC" w:rsidDel="004210CC">
        <w:t xml:space="preserve"> </w:t>
      </w:r>
    </w:p>
    <w:p w:rsidR="008A7E17" w:rsidRDefault="008A7E17" w:rsidP="005247BF">
      <w:pPr>
        <w:pStyle w:val="ListParagraph1"/>
        <w:tabs>
          <w:tab w:val="left" w:pos="1080"/>
        </w:tabs>
        <w:spacing w:after="0" w:line="240" w:lineRule="auto"/>
        <w:ind w:leftChars="654" w:left="1439" w:firstLineChars="41" w:firstLine="99"/>
        <w:jc w:val="both"/>
        <w:rPr>
          <w:rFonts w:ascii="Tahoma" w:hAnsi="Tahoma" w:cs="Tahoma"/>
          <w:b/>
          <w:color w:val="000000" w:themeColor="text1"/>
          <w:sz w:val="24"/>
          <w:szCs w:val="24"/>
        </w:rPr>
      </w:pPr>
    </w:p>
    <w:p w:rsidR="008A7E17" w:rsidRDefault="00670CEC" w:rsidP="005247BF">
      <w:pPr>
        <w:pStyle w:val="Heading3"/>
      </w:pPr>
      <w:r>
        <w:rPr>
          <w:b/>
        </w:rPr>
        <w:t xml:space="preserve">Decision of the Commissioner on </w:t>
      </w:r>
      <w:r w:rsidRPr="00EB0364">
        <w:rPr>
          <w:b/>
        </w:rPr>
        <w:t>Appea</w:t>
      </w:r>
      <w:r w:rsidR="00FA2148" w:rsidRPr="005247BF">
        <w:rPr>
          <w:b/>
        </w:rPr>
        <w:t>l.</w:t>
      </w:r>
      <w:r>
        <w:t xml:space="preserve"> The Commissioner </w:t>
      </w:r>
      <w:proofErr w:type="gramStart"/>
      <w:r>
        <w:t>shall</w:t>
      </w:r>
      <w:proofErr w:type="gramEnd"/>
      <w:r>
        <w:t xml:space="preserve"> render a decision</w:t>
      </w:r>
      <w:r w:rsidR="0044063B">
        <w:t xml:space="preserve"> on the appeal </w:t>
      </w:r>
      <w:r>
        <w:t>within fifteen (15) days from receipt of the complete records of the case from the District Collector.</w:t>
      </w:r>
      <w:r w:rsidR="00CF11CC">
        <w:rPr>
          <w:rStyle w:val="FootnoteReference"/>
        </w:rPr>
        <w:footnoteReference w:id="34"/>
      </w:r>
    </w:p>
    <w:p w:rsidR="008A7E17" w:rsidRDefault="008A7E17" w:rsidP="005247BF">
      <w:pPr>
        <w:pStyle w:val="ListParagraph1"/>
        <w:tabs>
          <w:tab w:val="left" w:pos="1080"/>
        </w:tabs>
        <w:spacing w:after="0" w:line="240" w:lineRule="auto"/>
        <w:ind w:leftChars="654" w:left="1439" w:firstLineChars="41" w:firstLine="99"/>
        <w:jc w:val="both"/>
        <w:rPr>
          <w:rFonts w:ascii="Tahoma" w:hAnsi="Tahoma" w:cs="Tahoma"/>
          <w:b/>
          <w:color w:val="000000" w:themeColor="text1"/>
          <w:sz w:val="24"/>
          <w:szCs w:val="24"/>
        </w:rPr>
      </w:pPr>
    </w:p>
    <w:p w:rsidR="008A7E17" w:rsidRDefault="00670CEC" w:rsidP="005247BF">
      <w:pPr>
        <w:pStyle w:val="Heading3"/>
        <w:tabs>
          <w:tab w:val="left" w:pos="2430"/>
        </w:tabs>
        <w:ind w:hanging="900"/>
      </w:pPr>
      <w:r>
        <w:rPr>
          <w:b/>
        </w:rPr>
        <w:t>Finality of the Decision of the Commissioner</w:t>
      </w:r>
      <w:r w:rsidR="00FA2148" w:rsidRPr="005247BF">
        <w:rPr>
          <w:b/>
        </w:rPr>
        <w:t>.</w:t>
      </w:r>
      <w:r w:rsidR="00FA2148">
        <w:t xml:space="preserve"> </w:t>
      </w:r>
      <w:r>
        <w:t>The decision</w:t>
      </w:r>
      <w:r w:rsidR="00607F56">
        <w:t xml:space="preserve"> of the Commissioner in all cases involving CBW application shall be final and executory.</w:t>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5C6E5F" w:rsidRDefault="00670CEC" w:rsidP="005247BF">
      <w:pPr>
        <w:pStyle w:val="Heading3"/>
        <w:tabs>
          <w:tab w:val="left" w:pos="2430"/>
        </w:tabs>
        <w:ind w:hanging="900"/>
        <w:rPr>
          <w:color w:val="FF0000"/>
        </w:rPr>
      </w:pPr>
      <w:r>
        <w:rPr>
          <w:b/>
        </w:rPr>
        <w:t>Certificate of Authority</w:t>
      </w:r>
      <w:r w:rsidR="002E2C7C" w:rsidRPr="005247BF">
        <w:rPr>
          <w:b/>
        </w:rPr>
        <w:t>.</w:t>
      </w:r>
      <w:r w:rsidR="002E2C7C">
        <w:t xml:space="preserve"> </w:t>
      </w:r>
      <w:r>
        <w:t xml:space="preserve">Any approval </w:t>
      </w:r>
      <w:r w:rsidR="005C6E5F">
        <w:t>of the CBW</w:t>
      </w:r>
      <w:r w:rsidR="00607F56">
        <w:t xml:space="preserve"> application shall be evidenced by a Certificate of Authority to Operate a CBW issued by the District Collector. Such certificate shall be conspicuously displayed at all times at the CBW and its extension offices, if any.</w:t>
      </w:r>
    </w:p>
    <w:p w:rsidR="00607F56" w:rsidRPr="00607F56" w:rsidRDefault="00607F56" w:rsidP="005247BF">
      <w:pPr>
        <w:spacing w:after="0"/>
      </w:pPr>
    </w:p>
    <w:p w:rsidR="00CD351F" w:rsidRDefault="00670CEC" w:rsidP="005247BF">
      <w:pPr>
        <w:pStyle w:val="Heading3"/>
        <w:tabs>
          <w:tab w:val="left" w:pos="2520"/>
        </w:tabs>
      </w:pPr>
      <w:r>
        <w:rPr>
          <w:b/>
        </w:rPr>
        <w:t>Amendment</w:t>
      </w:r>
      <w:r>
        <w:t xml:space="preserve"> </w:t>
      </w:r>
      <w:r w:rsidR="00CE4450" w:rsidRPr="005247BF">
        <w:rPr>
          <w:b/>
        </w:rPr>
        <w:t>of</w:t>
      </w:r>
      <w:r w:rsidR="00CE4450">
        <w:t xml:space="preserve"> </w:t>
      </w:r>
      <w:r w:rsidR="00CE4450">
        <w:rPr>
          <w:b/>
        </w:rPr>
        <w:t>Certificate of Authority</w:t>
      </w:r>
      <w:r w:rsidR="002E2C7C" w:rsidRPr="005247BF">
        <w:rPr>
          <w:b/>
        </w:rPr>
        <w:t>.</w:t>
      </w:r>
      <w:r w:rsidR="00CD351F">
        <w:t xml:space="preserve"> The Certificate of Authority may be amended by the District Collector upon the request of the CBW operator based on the following instances:</w:t>
      </w:r>
    </w:p>
    <w:p w:rsidR="00A1139E" w:rsidRPr="00A1139E" w:rsidRDefault="00A1139E" w:rsidP="005247BF"/>
    <w:p w:rsidR="00CD351F" w:rsidRPr="00724334" w:rsidRDefault="00CD351F" w:rsidP="005247BF">
      <w:pPr>
        <w:pStyle w:val="SubLettering"/>
        <w:numPr>
          <w:ilvl w:val="0"/>
          <w:numId w:val="42"/>
        </w:numPr>
      </w:pPr>
      <w:r w:rsidRPr="00EB0364">
        <w:t>Change of company name;</w:t>
      </w:r>
    </w:p>
    <w:p w:rsidR="00CD351F" w:rsidRPr="00AC10DC" w:rsidRDefault="00CD351F" w:rsidP="005247BF">
      <w:pPr>
        <w:pStyle w:val="SubLettering"/>
        <w:numPr>
          <w:ilvl w:val="0"/>
          <w:numId w:val="42"/>
        </w:numPr>
      </w:pPr>
      <w:r>
        <w:t xml:space="preserve">Change of the name of the street or building number without actual change of </w:t>
      </w:r>
      <w:r w:rsidRPr="00EB0364">
        <w:t xml:space="preserve">the physical </w:t>
      </w:r>
      <w:r w:rsidRPr="00724334">
        <w:t>location</w:t>
      </w:r>
      <w:r w:rsidR="00A174AE" w:rsidRPr="00724334">
        <w:t xml:space="preserve"> of the CBW;</w:t>
      </w:r>
      <w:r w:rsidR="00A174AE" w:rsidRPr="00571DE0">
        <w:t xml:space="preserve"> </w:t>
      </w:r>
    </w:p>
    <w:p w:rsidR="00A174AE" w:rsidRPr="005247BF" w:rsidRDefault="00A174AE" w:rsidP="005247BF">
      <w:pPr>
        <w:pStyle w:val="SubLettering"/>
      </w:pPr>
      <w:r w:rsidRPr="004C073B">
        <w:lastRenderedPageBreak/>
        <w:t xml:space="preserve">Change of the </w:t>
      </w:r>
      <w:r w:rsidRPr="00A3264D">
        <w:t>type of the CBW as approved by the Commissioner</w:t>
      </w:r>
      <w:r w:rsidRPr="005247BF">
        <w:t>; and,</w:t>
      </w:r>
    </w:p>
    <w:p w:rsidR="00A174AE" w:rsidRPr="005247BF" w:rsidRDefault="00A174AE" w:rsidP="005247BF">
      <w:pPr>
        <w:pStyle w:val="SubLettering"/>
      </w:pPr>
      <w:r w:rsidRPr="005247BF">
        <w:t>Such other changes which do not substantially alter the conditions specified in the existing Authority to Operate CBW.</w:t>
      </w:r>
    </w:p>
    <w:p w:rsidR="008A7E17" w:rsidRDefault="00A174AE" w:rsidP="005247BF">
      <w:pPr>
        <w:ind w:left="2520"/>
        <w:jc w:val="both"/>
        <w:rPr>
          <w:rFonts w:ascii="Tahoma" w:hAnsi="Tahoma" w:cs="Tahoma"/>
          <w:b/>
          <w:color w:val="000000" w:themeColor="text1"/>
          <w:sz w:val="24"/>
          <w:szCs w:val="24"/>
        </w:rPr>
      </w:pPr>
      <w:r>
        <w:rPr>
          <w:rFonts w:ascii="Tahoma" w:hAnsi="Tahoma" w:cs="Tahoma"/>
          <w:color w:val="000000" w:themeColor="text1"/>
          <w:sz w:val="24"/>
          <w:szCs w:val="24"/>
        </w:rPr>
        <w:t>The Commissioner shall be notified of any amendment to the Certificate of Authority to Operate CBW as approved by the District Collector.</w:t>
      </w:r>
    </w:p>
    <w:p w:rsidR="008A7E17" w:rsidRDefault="00341E42" w:rsidP="005247BF">
      <w:pPr>
        <w:pStyle w:val="Heading3"/>
        <w:tabs>
          <w:tab w:val="left" w:pos="2610"/>
          <w:tab w:val="left" w:pos="2700"/>
        </w:tabs>
      </w:pPr>
      <w:r w:rsidRPr="005247BF">
        <w:rPr>
          <w:b/>
        </w:rPr>
        <w:t xml:space="preserve">Membership in a </w:t>
      </w:r>
      <w:r w:rsidR="00670CEC" w:rsidRPr="005247BF">
        <w:rPr>
          <w:b/>
        </w:rPr>
        <w:t>Customs Common Bonded Warehouse</w:t>
      </w:r>
      <w:r w:rsidR="00980200">
        <w:rPr>
          <w:b/>
        </w:rPr>
        <w:t xml:space="preserve"> (CCBW)</w:t>
      </w:r>
      <w:r w:rsidR="00670CEC" w:rsidRPr="005247BF">
        <w:rPr>
          <w:b/>
        </w:rPr>
        <w:t xml:space="preserve">. </w:t>
      </w:r>
    </w:p>
    <w:p w:rsidR="0038433B" w:rsidRPr="005247BF" w:rsidRDefault="0038433B" w:rsidP="005247BF">
      <w:pPr>
        <w:pStyle w:val="SubLettering"/>
        <w:numPr>
          <w:ilvl w:val="0"/>
          <w:numId w:val="0"/>
        </w:numPr>
        <w:ind w:left="3149"/>
        <w:rPr>
          <w:color w:val="FF0000"/>
        </w:rPr>
      </w:pPr>
    </w:p>
    <w:p w:rsidR="0056222B" w:rsidRDefault="00670CEC" w:rsidP="005247BF">
      <w:pPr>
        <w:pStyle w:val="SubLettering"/>
        <w:numPr>
          <w:ilvl w:val="0"/>
          <w:numId w:val="43"/>
        </w:numPr>
        <w:rPr>
          <w:color w:val="FF0000"/>
        </w:rPr>
      </w:pPr>
      <w:r w:rsidRPr="00724334">
        <w:t>A company which is considered as</w:t>
      </w:r>
      <w:r w:rsidR="00290F45" w:rsidRPr="00607F56">
        <w:t xml:space="preserve"> micro</w:t>
      </w:r>
      <w:r w:rsidR="000B6050" w:rsidRPr="00607F56">
        <w:t xml:space="preserve"> or </w:t>
      </w:r>
      <w:proofErr w:type="gramStart"/>
      <w:r w:rsidRPr="00607F56">
        <w:t>small  enterprise</w:t>
      </w:r>
      <w:proofErr w:type="gramEnd"/>
      <w:r w:rsidRPr="00607F56">
        <w:t xml:space="preserve"> shall have the option to establish its own </w:t>
      </w:r>
      <w:r w:rsidR="00980200">
        <w:t>CMBW</w:t>
      </w:r>
      <w:r w:rsidRPr="00607F56">
        <w:t xml:space="preserve"> or apply as a member of a </w:t>
      </w:r>
      <w:r w:rsidR="00980200">
        <w:t>CCBW</w:t>
      </w:r>
      <w:r w:rsidRPr="00607F56">
        <w:t>.</w:t>
      </w:r>
      <w:r w:rsidR="0056222B">
        <w:rPr>
          <w:rStyle w:val="FootnoteReference"/>
        </w:rPr>
        <w:footnoteReference w:id="35"/>
      </w:r>
    </w:p>
    <w:p w:rsidR="0056222B" w:rsidRPr="005247BF" w:rsidRDefault="00670CEC" w:rsidP="005247BF">
      <w:pPr>
        <w:pStyle w:val="SubLettering"/>
        <w:numPr>
          <w:ilvl w:val="0"/>
          <w:numId w:val="43"/>
        </w:numPr>
        <w:rPr>
          <w:color w:val="FF0000"/>
        </w:rPr>
      </w:pPr>
      <w:r w:rsidRPr="00724334">
        <w:t xml:space="preserve">A company that is considered as </w:t>
      </w:r>
      <w:r w:rsidR="000B6050" w:rsidRPr="00571DE0">
        <w:t xml:space="preserve">medium or </w:t>
      </w:r>
      <w:r w:rsidRPr="004C073B">
        <w:t>large scale enterprise shall not be allowed to apply as member of a customs common bonded warehouse.</w:t>
      </w:r>
      <w:r w:rsidR="0056222B">
        <w:rPr>
          <w:rStyle w:val="FootnoteReference"/>
        </w:rPr>
        <w:footnoteReference w:id="36"/>
      </w:r>
      <w:r w:rsidRPr="004C073B">
        <w:t xml:space="preserve"> </w:t>
      </w:r>
    </w:p>
    <w:p w:rsidR="008A7E17" w:rsidRDefault="007C5EE1" w:rsidP="005247BF">
      <w:pPr>
        <w:pStyle w:val="SubLettering"/>
        <w:numPr>
          <w:ilvl w:val="0"/>
          <w:numId w:val="43"/>
        </w:numPr>
      </w:pPr>
      <w:r w:rsidRPr="00EB0364">
        <w:t>This Section, notwithstanding, existing member</w:t>
      </w:r>
      <w:r w:rsidRPr="00724334">
        <w:t>s of CCBW wh</w:t>
      </w:r>
      <w:r w:rsidRPr="00571DE0">
        <w:t xml:space="preserve">ich are </w:t>
      </w:r>
      <w:r w:rsidR="007F2117" w:rsidRPr="00AC10DC">
        <w:t xml:space="preserve">classified as </w:t>
      </w:r>
      <w:r w:rsidR="007F2117" w:rsidRPr="004C073B">
        <w:t>medium or large</w:t>
      </w:r>
      <w:r w:rsidR="007F2117" w:rsidRPr="00A3264D">
        <w:t xml:space="preserve"> may opt to remain as member </w:t>
      </w:r>
      <w:r w:rsidR="007F2117" w:rsidRPr="005247BF">
        <w:t xml:space="preserve">or establish its own CBW. </w:t>
      </w:r>
      <w:r w:rsidR="008434CA" w:rsidRPr="005247BF">
        <w:t>Medium and large scale enterprises, however, are encouraged to establish their own CBW.</w:t>
      </w:r>
    </w:p>
    <w:p w:rsidR="008A7E17" w:rsidRPr="00EB0364" w:rsidRDefault="00670CEC" w:rsidP="005247BF">
      <w:pPr>
        <w:pStyle w:val="Heading3"/>
        <w:tabs>
          <w:tab w:val="left" w:pos="1980"/>
          <w:tab w:val="left" w:pos="2070"/>
          <w:tab w:val="left" w:pos="2160"/>
          <w:tab w:val="left" w:pos="2520"/>
          <w:tab w:val="left" w:pos="2790"/>
        </w:tabs>
      </w:pPr>
      <w:r w:rsidRPr="005247BF">
        <w:rPr>
          <w:b/>
        </w:rPr>
        <w:t>Application for Accreditation as Member, Sub-Contractor, or Client/End-User of CBWs</w:t>
      </w:r>
      <w:r w:rsidR="005C6E5F" w:rsidRPr="005247BF">
        <w:rPr>
          <w:b/>
        </w:rPr>
        <w:t>.</w:t>
      </w:r>
      <w:r w:rsidR="00607F56">
        <w:rPr>
          <w:b/>
        </w:rPr>
        <w:t xml:space="preserve"> </w:t>
      </w:r>
      <w:r>
        <w:t>Application or renewal of accreditation as member, as a sub</w:t>
      </w:r>
      <w:r w:rsidR="005C6E5F">
        <w:t>-</w:t>
      </w:r>
      <w:r>
        <w:t>contractor or client</w:t>
      </w:r>
      <w:r w:rsidRPr="005247BF">
        <w:rPr>
          <w:color w:val="FF0000"/>
        </w:rPr>
        <w:t>/</w:t>
      </w:r>
      <w:r>
        <w:t>end-users of CBW’s shall be filed with the District Collector where the CBW is located. In such case, the rules provided herein on application and renewal of CBWs shall apply.</w:t>
      </w:r>
      <w:r w:rsidR="0056222B">
        <w:rPr>
          <w:rStyle w:val="FootnoteReference"/>
        </w:rPr>
        <w:footnoteReference w:id="37"/>
      </w:r>
    </w:p>
    <w:p w:rsidR="008A7E17" w:rsidRDefault="008A7E17" w:rsidP="005247BF">
      <w:pPr>
        <w:pStyle w:val="NoSpacing1"/>
        <w:tabs>
          <w:tab w:val="left" w:pos="1080"/>
          <w:tab w:val="left" w:pos="2420"/>
        </w:tabs>
        <w:jc w:val="both"/>
        <w:rPr>
          <w:rFonts w:ascii="Tahoma" w:hAnsi="Tahoma" w:cs="Tahoma"/>
          <w:color w:val="FF0000"/>
          <w:sz w:val="24"/>
          <w:szCs w:val="24"/>
        </w:rPr>
      </w:pPr>
    </w:p>
    <w:p w:rsidR="008A7E17" w:rsidRPr="008434CA" w:rsidRDefault="00670CEC" w:rsidP="005247BF">
      <w:pPr>
        <w:pStyle w:val="Heading3"/>
        <w:tabs>
          <w:tab w:val="left" w:pos="1980"/>
          <w:tab w:val="left" w:pos="2250"/>
          <w:tab w:val="left" w:pos="2340"/>
          <w:tab w:val="left" w:pos="2520"/>
        </w:tabs>
        <w:spacing w:after="240"/>
      </w:pPr>
      <w:r w:rsidRPr="005247BF">
        <w:rPr>
          <w:b/>
        </w:rPr>
        <w:t xml:space="preserve">Application for </w:t>
      </w:r>
      <w:r w:rsidR="00D330C0" w:rsidRPr="005247BF">
        <w:rPr>
          <w:b/>
        </w:rPr>
        <w:t xml:space="preserve">Extension </w:t>
      </w:r>
      <w:r w:rsidRPr="005247BF">
        <w:rPr>
          <w:b/>
        </w:rPr>
        <w:t>Warehouse</w:t>
      </w:r>
      <w:r w:rsidR="00607F56" w:rsidRPr="005247BF">
        <w:rPr>
          <w:b/>
        </w:rPr>
        <w:t>.</w:t>
      </w:r>
      <w:r w:rsidRPr="005247BF">
        <w:rPr>
          <w:b/>
        </w:rPr>
        <w:t xml:space="preserve"> </w:t>
      </w:r>
    </w:p>
    <w:p w:rsidR="008A7E17" w:rsidRDefault="00670CEC" w:rsidP="005247BF">
      <w:pPr>
        <w:pStyle w:val="SubLettering"/>
        <w:numPr>
          <w:ilvl w:val="0"/>
          <w:numId w:val="44"/>
        </w:numPr>
      </w:pPr>
      <w:r>
        <w:t xml:space="preserve">Applications of </w:t>
      </w:r>
      <w:r w:rsidR="00D330C0">
        <w:t xml:space="preserve">extension </w:t>
      </w:r>
      <w:r>
        <w:t>warehouse for CBWs shall be filed with the District Collector who has jurisdiction over the main facilities.</w:t>
      </w:r>
    </w:p>
    <w:p w:rsidR="008A7E17" w:rsidRPr="00EB0364" w:rsidRDefault="00670CEC" w:rsidP="005247BF">
      <w:pPr>
        <w:pStyle w:val="SubLettering"/>
        <w:numPr>
          <w:ilvl w:val="0"/>
          <w:numId w:val="44"/>
        </w:numPr>
      </w:pPr>
      <w:r>
        <w:lastRenderedPageBreak/>
        <w:t>In case the proposed extension warehouse or facility is located in a place outside the jurisdiction of the District Collector where the main warehouse or facility is situated, such shall be treated as a new application. Accordingly:</w:t>
      </w:r>
    </w:p>
    <w:p w:rsidR="008A7E17" w:rsidRDefault="00670CEC" w:rsidP="005247BF">
      <w:pPr>
        <w:pStyle w:val="SubLettering"/>
        <w:numPr>
          <w:ilvl w:val="0"/>
          <w:numId w:val="45"/>
        </w:numPr>
      </w:pPr>
      <w:r>
        <w:t>Rules for the establishment of a new warehouse shall apply; and</w:t>
      </w:r>
      <w:r w:rsidR="008434CA">
        <w:t>,</w:t>
      </w:r>
    </w:p>
    <w:p w:rsidR="008A7E17" w:rsidRDefault="00607F56" w:rsidP="005247BF">
      <w:pPr>
        <w:pStyle w:val="SubLettering"/>
        <w:numPr>
          <w:ilvl w:val="0"/>
          <w:numId w:val="45"/>
        </w:numPr>
      </w:pPr>
      <w:r>
        <w:t xml:space="preserve">Supervisory functions and </w:t>
      </w:r>
      <w:proofErr w:type="spellStart"/>
      <w:r>
        <w:t>visitorial</w:t>
      </w:r>
      <w:proofErr w:type="spellEnd"/>
      <w:r>
        <w:t xml:space="preserve"> power may only be exercised by the District Collector who has jurisdiction over the location.</w:t>
      </w:r>
    </w:p>
    <w:p w:rsidR="007301D9" w:rsidRPr="005247BF" w:rsidRDefault="00670CEC" w:rsidP="005247BF">
      <w:pPr>
        <w:pStyle w:val="Heading2"/>
      </w:pPr>
      <w:r>
        <w:rPr>
          <w:b/>
        </w:rPr>
        <w:t>Validity of Authority to Operate</w:t>
      </w:r>
      <w:r w:rsidRPr="005247BF">
        <w:rPr>
          <w:b/>
        </w:rPr>
        <w:t>.</w:t>
      </w:r>
      <w:r>
        <w:t xml:space="preserve"> The Authority to Operate a CBW, including warehouse extensions and additional facilities issued pursuant to this CAO shall be valid for </w:t>
      </w:r>
      <w:r w:rsidR="00746FAA">
        <w:t xml:space="preserve">three </w:t>
      </w:r>
      <w:r>
        <w:t>(</w:t>
      </w:r>
      <w:r w:rsidR="00746FAA">
        <w:t>3</w:t>
      </w:r>
      <w:r>
        <w:t>) years counted from the date of the approval of the application for establishment or renewal, as stated in the Certificate of Authority</w:t>
      </w:r>
      <w:r w:rsidR="008D0686">
        <w:t xml:space="preserve"> to Operate</w:t>
      </w:r>
      <w:r w:rsidR="007E671E">
        <w:t>.</w:t>
      </w:r>
    </w:p>
    <w:p w:rsidR="007301D9" w:rsidRPr="005247BF" w:rsidRDefault="00B5588A" w:rsidP="005247BF">
      <w:pPr>
        <w:pStyle w:val="Heading2"/>
        <w:numPr>
          <w:ilvl w:val="0"/>
          <w:numId w:val="0"/>
        </w:numPr>
        <w:ind w:left="1620"/>
        <w:rPr>
          <w:b/>
        </w:rPr>
      </w:pPr>
      <w:r>
        <w:t xml:space="preserve"> </w:t>
      </w:r>
    </w:p>
    <w:p w:rsidR="00B5588A" w:rsidRDefault="00B5588A" w:rsidP="005247BF">
      <w:pPr>
        <w:pStyle w:val="Heading2"/>
        <w:rPr>
          <w:b/>
        </w:rPr>
      </w:pPr>
      <w:r>
        <w:t>Any relocation of a CBW should have prior written approval from the District Collector as approved by the Commissioner. Any unauthorized relocation shall be ground for the suspension or revocation of the authority to operate issued to the CBW, its members or sub-contractors, or CFW, as the case may be.</w:t>
      </w:r>
      <w:r>
        <w:rPr>
          <w:rStyle w:val="FootnoteReference"/>
        </w:rPr>
        <w:footnoteReference w:id="38"/>
      </w:r>
      <w:r>
        <w:t xml:space="preserve"> </w:t>
      </w:r>
    </w:p>
    <w:p w:rsidR="008A7E17" w:rsidRDefault="008A7E17" w:rsidP="005247BF">
      <w:pPr>
        <w:pStyle w:val="Heading2"/>
        <w:numPr>
          <w:ilvl w:val="0"/>
          <w:numId w:val="0"/>
        </w:numPr>
        <w:ind w:left="1620"/>
      </w:pPr>
    </w:p>
    <w:p w:rsidR="008A7E17" w:rsidRPr="005247BF" w:rsidRDefault="00670CEC" w:rsidP="005247BF">
      <w:pPr>
        <w:pStyle w:val="Heading2"/>
        <w:rPr>
          <w:b/>
        </w:rPr>
      </w:pPr>
      <w:r w:rsidRPr="005247BF">
        <w:rPr>
          <w:b/>
        </w:rPr>
        <w:t>Filing of Application for Renewal of Authority to Operate CBW</w:t>
      </w:r>
      <w:r w:rsidR="002C795F" w:rsidRPr="005247BF">
        <w:rPr>
          <w:b/>
        </w:rPr>
        <w:t>.</w:t>
      </w:r>
    </w:p>
    <w:p w:rsidR="008A7E17" w:rsidRDefault="008A7E17" w:rsidP="005247BF">
      <w:pPr>
        <w:pStyle w:val="NoSpacing1"/>
        <w:tabs>
          <w:tab w:val="left" w:pos="1080"/>
        </w:tabs>
        <w:ind w:left="900"/>
        <w:jc w:val="both"/>
        <w:rPr>
          <w:rFonts w:ascii="Tahoma" w:hAnsi="Tahoma" w:cs="Tahoma"/>
          <w:color w:val="000000" w:themeColor="text1"/>
          <w:sz w:val="24"/>
          <w:szCs w:val="24"/>
        </w:rPr>
      </w:pPr>
    </w:p>
    <w:p w:rsidR="008A7E17" w:rsidRDefault="00670CEC" w:rsidP="005247BF">
      <w:pPr>
        <w:pStyle w:val="Heading3"/>
      </w:pPr>
      <w:r>
        <w:t>The application for renewal of Authority to Operate a CBW shall be filed at least three (3) months before its expiration.</w:t>
      </w:r>
      <w:r w:rsidR="00C013E4">
        <w:t xml:space="preserve"> For CCBWs, the application for renewal shall be filed at least six (6) months before its expiration.</w:t>
      </w:r>
    </w:p>
    <w:p w:rsidR="00C013E4" w:rsidRDefault="00C013E4" w:rsidP="005247BF">
      <w:pPr>
        <w:pStyle w:val="NoSpacing10"/>
        <w:tabs>
          <w:tab w:val="left" w:pos="900"/>
        </w:tabs>
        <w:spacing w:after="0" w:line="240" w:lineRule="auto"/>
        <w:ind w:left="1350"/>
        <w:jc w:val="both"/>
        <w:rPr>
          <w:rFonts w:ascii="Tahoma" w:hAnsi="Tahoma" w:cs="Tahoma"/>
          <w:color w:val="000000" w:themeColor="text1"/>
          <w:sz w:val="24"/>
          <w:szCs w:val="24"/>
        </w:rPr>
      </w:pPr>
    </w:p>
    <w:p w:rsidR="00C013E4" w:rsidRDefault="00670CEC" w:rsidP="005247BF">
      <w:pPr>
        <w:pStyle w:val="NoSpacing1"/>
        <w:tabs>
          <w:tab w:val="left" w:pos="900"/>
        </w:tabs>
        <w:ind w:left="2430"/>
        <w:jc w:val="both"/>
        <w:rPr>
          <w:rFonts w:ascii="Tahoma" w:hAnsi="Tahoma" w:cs="Tahoma"/>
          <w:color w:val="000000" w:themeColor="text1"/>
          <w:sz w:val="24"/>
          <w:szCs w:val="24"/>
        </w:rPr>
      </w:pPr>
      <w:r>
        <w:rPr>
          <w:rFonts w:ascii="Tahoma" w:hAnsi="Tahoma" w:cs="Tahoma"/>
          <w:color w:val="000000" w:themeColor="text1"/>
          <w:sz w:val="24"/>
          <w:szCs w:val="24"/>
        </w:rPr>
        <w:t>Non-filing within the prescribed period shall cause the imposition of penalties, including suspension or revocation of the Authority to Operate, as may be warranted.</w:t>
      </w:r>
      <w:r w:rsidR="0056222B">
        <w:rPr>
          <w:rStyle w:val="FootnoteReference"/>
          <w:rFonts w:ascii="Tahoma" w:hAnsi="Tahoma" w:cs="Tahoma"/>
          <w:color w:val="000000" w:themeColor="text1"/>
          <w:sz w:val="24"/>
          <w:szCs w:val="24"/>
        </w:rPr>
        <w:footnoteReference w:id="39"/>
      </w:r>
    </w:p>
    <w:p w:rsidR="008A7E17" w:rsidRDefault="008A7E17" w:rsidP="005247BF">
      <w:pPr>
        <w:pStyle w:val="NoSpacing1"/>
        <w:tabs>
          <w:tab w:val="left" w:pos="900"/>
        </w:tabs>
        <w:ind w:left="1350"/>
        <w:jc w:val="both"/>
        <w:rPr>
          <w:rFonts w:ascii="Tahoma" w:hAnsi="Tahoma" w:cs="Tahoma"/>
          <w:color w:val="000000" w:themeColor="text1"/>
          <w:sz w:val="24"/>
          <w:szCs w:val="24"/>
        </w:rPr>
      </w:pPr>
    </w:p>
    <w:p w:rsidR="00E131D4" w:rsidRPr="005247BF" w:rsidRDefault="007C5EE1" w:rsidP="005247BF">
      <w:pPr>
        <w:pStyle w:val="Heading2"/>
        <w:tabs>
          <w:tab w:val="left" w:pos="1440"/>
        </w:tabs>
        <w:rPr>
          <w:b/>
        </w:rPr>
      </w:pPr>
      <w:r>
        <w:rPr>
          <w:b/>
        </w:rPr>
        <w:t>S</w:t>
      </w:r>
      <w:r w:rsidRPr="005247BF">
        <w:rPr>
          <w:b/>
        </w:rPr>
        <w:t>upervision</w:t>
      </w:r>
      <w:r>
        <w:t xml:space="preserve"> </w:t>
      </w:r>
      <w:r w:rsidR="00670CEC">
        <w:rPr>
          <w:b/>
        </w:rPr>
        <w:t>Fee</w:t>
      </w:r>
      <w:r w:rsidR="00670CEC" w:rsidRPr="005247BF">
        <w:rPr>
          <w:b/>
        </w:rPr>
        <w:t>.</w:t>
      </w:r>
      <w:r w:rsidR="00670CEC">
        <w:t xml:space="preserve"> An annual supervision fee shall be imposed on CBWs including their extensions and additional facilities, if any</w:t>
      </w:r>
      <w:r w:rsidR="00506448">
        <w:t>, based on the following schedule</w:t>
      </w:r>
      <w:r w:rsidR="00E131D4">
        <w:t>:</w:t>
      </w:r>
    </w:p>
    <w:p w:rsidR="005B7AC2" w:rsidRDefault="005B7AC2" w:rsidP="005247BF">
      <w:pPr>
        <w:pStyle w:val="NoSpacing1"/>
        <w:tabs>
          <w:tab w:val="left" w:pos="1080"/>
        </w:tabs>
        <w:ind w:left="900"/>
        <w:jc w:val="both"/>
        <w:rPr>
          <w:rFonts w:ascii="Tahoma" w:hAnsi="Tahoma" w:cs="Tahoma"/>
          <w:color w:val="000000" w:themeColor="text1"/>
          <w:sz w:val="24"/>
          <w:szCs w:val="24"/>
        </w:rPr>
      </w:pPr>
    </w:p>
    <w:p w:rsidR="005B7AC2" w:rsidRDefault="005B7AC2" w:rsidP="005247BF">
      <w:pPr>
        <w:pStyle w:val="NoSpacing1"/>
        <w:tabs>
          <w:tab w:val="left" w:pos="1080"/>
        </w:tabs>
        <w:ind w:left="900"/>
        <w:jc w:val="both"/>
        <w:rPr>
          <w:rFonts w:ascii="Tahoma" w:hAnsi="Tahoma" w:cs="Tahoma"/>
          <w:color w:val="000000" w:themeColor="text1"/>
          <w:sz w:val="24"/>
          <w:szCs w:val="24"/>
        </w:rPr>
      </w:pPr>
    </w:p>
    <w:p w:rsidR="00506448" w:rsidRPr="005247BF" w:rsidRDefault="00506448" w:rsidP="005247BF">
      <w:pPr>
        <w:pStyle w:val="NoSpacing1"/>
        <w:tabs>
          <w:tab w:val="left" w:pos="1080"/>
        </w:tabs>
        <w:ind w:left="900"/>
        <w:jc w:val="both"/>
        <w:rPr>
          <w:rFonts w:ascii="Tahoma" w:hAnsi="Tahoma" w:cs="Tahoma"/>
          <w:b/>
          <w:color w:val="000000" w:themeColor="text1"/>
          <w:sz w:val="24"/>
          <w:szCs w:val="24"/>
        </w:rPr>
      </w:pPr>
    </w:p>
    <w:p w:rsidR="00C17360" w:rsidRPr="005247BF" w:rsidRDefault="00506448" w:rsidP="005247BF">
      <w:pPr>
        <w:pStyle w:val="Heading3"/>
        <w:spacing w:after="240"/>
        <w:rPr>
          <w:b/>
        </w:rPr>
      </w:pPr>
      <w:r>
        <w:lastRenderedPageBreak/>
        <w:t xml:space="preserve"> </w:t>
      </w:r>
      <w:r w:rsidRPr="005247BF">
        <w:rPr>
          <w:b/>
        </w:rPr>
        <w:t xml:space="preserve">Customs Bonded Manufacturing Warehouse </w:t>
      </w:r>
      <w:r w:rsidR="00C17360" w:rsidRPr="005247BF">
        <w:rPr>
          <w:b/>
        </w:rPr>
        <w:t>(CBMW)</w:t>
      </w:r>
    </w:p>
    <w:p w:rsidR="00506448" w:rsidRPr="005247BF" w:rsidRDefault="00506448" w:rsidP="005247BF">
      <w:pPr>
        <w:pStyle w:val="SubLettering"/>
        <w:numPr>
          <w:ilvl w:val="0"/>
          <w:numId w:val="46"/>
        </w:numPr>
      </w:pPr>
      <w:r w:rsidRPr="005247BF">
        <w:t xml:space="preserve">Micro </w:t>
      </w:r>
      <w:r w:rsidR="0056222B">
        <w:tab/>
      </w:r>
      <w:r w:rsidR="002C795F">
        <w:tab/>
      </w:r>
      <w:r w:rsidR="002C795F">
        <w:tab/>
      </w:r>
      <w:r w:rsidR="002C795F">
        <w:tab/>
      </w:r>
      <w:proofErr w:type="spellStart"/>
      <w:r w:rsidRPr="005247BF">
        <w:t>Php</w:t>
      </w:r>
      <w:proofErr w:type="spellEnd"/>
      <w:r w:rsidRPr="005247BF">
        <w:t xml:space="preserve"> </w:t>
      </w:r>
      <w:r w:rsidR="00C61689">
        <w:t xml:space="preserve">  </w:t>
      </w:r>
      <w:r w:rsidRPr="005247BF">
        <w:t>50,000.00</w:t>
      </w:r>
    </w:p>
    <w:p w:rsidR="00506448" w:rsidRPr="005247BF" w:rsidRDefault="00506448" w:rsidP="005247BF">
      <w:pPr>
        <w:pStyle w:val="SubLettering"/>
        <w:numPr>
          <w:ilvl w:val="0"/>
          <w:numId w:val="46"/>
        </w:numPr>
      </w:pPr>
      <w:r w:rsidRPr="005247BF">
        <w:t>Small</w:t>
      </w:r>
      <w:r w:rsidR="0056222B" w:rsidRPr="004C073B">
        <w:t xml:space="preserve"> </w:t>
      </w:r>
      <w:r w:rsidR="002C795F">
        <w:tab/>
      </w:r>
      <w:r w:rsidR="002C795F">
        <w:tab/>
      </w:r>
      <w:r w:rsidR="002C795F">
        <w:tab/>
      </w:r>
      <w:r w:rsidR="002C795F">
        <w:tab/>
      </w:r>
      <w:proofErr w:type="spellStart"/>
      <w:r w:rsidRPr="005247BF">
        <w:t>Php</w:t>
      </w:r>
      <w:proofErr w:type="spellEnd"/>
      <w:r w:rsidRPr="005247BF">
        <w:t xml:space="preserve"> </w:t>
      </w:r>
      <w:r w:rsidR="00C61689">
        <w:t xml:space="preserve">  </w:t>
      </w:r>
      <w:r>
        <w:t>75</w:t>
      </w:r>
      <w:r w:rsidRPr="005247BF">
        <w:t>,000.00</w:t>
      </w:r>
    </w:p>
    <w:p w:rsidR="00506448" w:rsidRPr="005247BF" w:rsidRDefault="00506448" w:rsidP="005247BF">
      <w:pPr>
        <w:pStyle w:val="SubLettering"/>
        <w:numPr>
          <w:ilvl w:val="0"/>
          <w:numId w:val="46"/>
        </w:numPr>
      </w:pPr>
      <w:r w:rsidRPr="005247BF">
        <w:t xml:space="preserve">Medium </w:t>
      </w:r>
      <w:r w:rsidR="002C795F">
        <w:tab/>
      </w:r>
      <w:r w:rsidR="002C795F">
        <w:tab/>
      </w:r>
      <w:r w:rsidR="002C795F">
        <w:tab/>
      </w:r>
      <w:r w:rsidR="002C795F">
        <w:tab/>
      </w:r>
      <w:proofErr w:type="spellStart"/>
      <w:r w:rsidRPr="005247BF">
        <w:t>Php</w:t>
      </w:r>
      <w:proofErr w:type="spellEnd"/>
      <w:r w:rsidRPr="005247BF">
        <w:t xml:space="preserve"> 150,000.00</w:t>
      </w:r>
    </w:p>
    <w:p w:rsidR="00506448" w:rsidRDefault="00506448" w:rsidP="005247BF">
      <w:pPr>
        <w:pStyle w:val="SubLettering"/>
        <w:numPr>
          <w:ilvl w:val="0"/>
          <w:numId w:val="46"/>
        </w:numPr>
      </w:pPr>
      <w:r w:rsidRPr="005247BF">
        <w:t xml:space="preserve">Large </w:t>
      </w:r>
      <w:r w:rsidR="002C795F">
        <w:tab/>
      </w:r>
      <w:r w:rsidR="002C795F">
        <w:tab/>
      </w:r>
      <w:r w:rsidR="002C795F">
        <w:tab/>
      </w:r>
      <w:r w:rsidR="002C795F">
        <w:tab/>
      </w:r>
      <w:proofErr w:type="spellStart"/>
      <w:r w:rsidRPr="005247BF">
        <w:t>Php</w:t>
      </w:r>
      <w:proofErr w:type="spellEnd"/>
      <w:r w:rsidRPr="005247BF">
        <w:t xml:space="preserve"> </w:t>
      </w:r>
      <w:r>
        <w:t>30</w:t>
      </w:r>
      <w:r w:rsidRPr="005247BF">
        <w:t>0,000.00</w:t>
      </w:r>
    </w:p>
    <w:p w:rsidR="00E131D4" w:rsidRDefault="0056222B" w:rsidP="005247BF">
      <w:pPr>
        <w:pStyle w:val="SubLettering"/>
        <w:numPr>
          <w:ilvl w:val="0"/>
          <w:numId w:val="46"/>
        </w:numPr>
        <w:spacing w:after="0"/>
      </w:pPr>
      <w:r>
        <w:t xml:space="preserve">For every extension warehouse </w:t>
      </w:r>
      <w:proofErr w:type="spellStart"/>
      <w:r w:rsidR="00E131D4">
        <w:t>Php</w:t>
      </w:r>
      <w:proofErr w:type="spellEnd"/>
      <w:r w:rsidR="00E131D4">
        <w:t xml:space="preserve"> </w:t>
      </w:r>
      <w:r w:rsidR="00C61689">
        <w:t xml:space="preserve"> </w:t>
      </w:r>
      <w:r w:rsidR="00E131D4">
        <w:t>50,000.00</w:t>
      </w:r>
    </w:p>
    <w:p w:rsidR="00E131D4" w:rsidRDefault="00E131D4" w:rsidP="005247BF">
      <w:pPr>
        <w:pStyle w:val="NoSpacing1"/>
        <w:tabs>
          <w:tab w:val="left" w:pos="1080"/>
        </w:tabs>
        <w:ind w:left="2160"/>
        <w:jc w:val="both"/>
        <w:rPr>
          <w:rFonts w:ascii="Tahoma" w:hAnsi="Tahoma" w:cs="Tahoma"/>
          <w:color w:val="000000" w:themeColor="text1"/>
          <w:sz w:val="24"/>
          <w:szCs w:val="24"/>
        </w:rPr>
      </w:pPr>
    </w:p>
    <w:p w:rsidR="00506448" w:rsidRPr="005247BF" w:rsidRDefault="00506448" w:rsidP="005247BF">
      <w:pPr>
        <w:pStyle w:val="Heading3"/>
        <w:rPr>
          <w:b/>
        </w:rPr>
      </w:pPr>
      <w:r w:rsidRPr="005247BF">
        <w:rPr>
          <w:b/>
        </w:rPr>
        <w:t xml:space="preserve">Customs Common Bonded Warehouse </w:t>
      </w:r>
      <w:r w:rsidR="00E131D4" w:rsidRPr="005247BF">
        <w:rPr>
          <w:b/>
        </w:rPr>
        <w:t>or Industry-Specific CBW</w:t>
      </w:r>
    </w:p>
    <w:p w:rsidR="00506448" w:rsidRDefault="0056222B" w:rsidP="005247BF">
      <w:pPr>
        <w:pStyle w:val="SubLettering"/>
        <w:numPr>
          <w:ilvl w:val="0"/>
          <w:numId w:val="47"/>
        </w:numPr>
        <w:spacing w:before="240"/>
      </w:pPr>
      <w:r>
        <w:t xml:space="preserve">10 or less members </w:t>
      </w:r>
      <w:r w:rsidR="002C795F">
        <w:tab/>
      </w:r>
      <w:r w:rsidR="002C795F">
        <w:tab/>
      </w:r>
      <w:proofErr w:type="spellStart"/>
      <w:r w:rsidR="00506448" w:rsidRPr="00A61164">
        <w:t>Php</w:t>
      </w:r>
      <w:proofErr w:type="spellEnd"/>
      <w:r w:rsidR="00506448" w:rsidRPr="00A61164">
        <w:t xml:space="preserve"> 300,000.00</w:t>
      </w:r>
    </w:p>
    <w:p w:rsidR="0056222B" w:rsidRDefault="00E131D4" w:rsidP="005247BF">
      <w:pPr>
        <w:pStyle w:val="SubLettering"/>
        <w:numPr>
          <w:ilvl w:val="0"/>
          <w:numId w:val="47"/>
        </w:numPr>
        <w:spacing w:after="0"/>
      </w:pPr>
      <w:r>
        <w:t>More than 10</w:t>
      </w:r>
      <w:r w:rsidR="00506448">
        <w:t xml:space="preserve"> </w:t>
      </w:r>
      <w:r w:rsidR="0056222B">
        <w:t>members</w:t>
      </w:r>
      <w:r w:rsidR="0056222B">
        <w:tab/>
      </w:r>
      <w:r w:rsidR="002C795F">
        <w:tab/>
      </w:r>
      <w:proofErr w:type="spellStart"/>
      <w:r w:rsidRPr="00A61164">
        <w:t>Php</w:t>
      </w:r>
      <w:proofErr w:type="spellEnd"/>
      <w:r w:rsidRPr="00A61164">
        <w:t xml:space="preserve"> 300,000.00</w:t>
      </w:r>
      <w:r>
        <w:t xml:space="preserve"> plus </w:t>
      </w:r>
      <w:proofErr w:type="spellStart"/>
      <w:r w:rsidR="0056222B">
        <w:t>Php</w:t>
      </w:r>
      <w:proofErr w:type="spellEnd"/>
    </w:p>
    <w:p w:rsidR="0056222B" w:rsidRDefault="0056222B" w:rsidP="005247BF">
      <w:pPr>
        <w:pStyle w:val="SubLettering"/>
        <w:numPr>
          <w:ilvl w:val="0"/>
          <w:numId w:val="0"/>
        </w:numPr>
        <w:spacing w:after="0"/>
        <w:ind w:left="3149"/>
      </w:pPr>
      <w:r>
        <w:tab/>
      </w:r>
      <w:r>
        <w:tab/>
      </w:r>
      <w:r>
        <w:tab/>
      </w:r>
      <w:r>
        <w:tab/>
      </w:r>
      <w:r>
        <w:tab/>
        <w:t xml:space="preserve">10,000.00 </w:t>
      </w:r>
      <w:proofErr w:type="gramStart"/>
      <w:r>
        <w:t>for</w:t>
      </w:r>
      <w:proofErr w:type="gramEnd"/>
      <w:r>
        <w:t xml:space="preserve"> every</w:t>
      </w:r>
    </w:p>
    <w:p w:rsidR="00E131D4" w:rsidRDefault="0056222B" w:rsidP="005247BF">
      <w:pPr>
        <w:pStyle w:val="SubLettering"/>
        <w:numPr>
          <w:ilvl w:val="0"/>
          <w:numId w:val="0"/>
        </w:numPr>
        <w:spacing w:after="0" w:line="240" w:lineRule="auto"/>
        <w:ind w:left="3149"/>
      </w:pPr>
      <w:r>
        <w:tab/>
      </w:r>
      <w:r>
        <w:tab/>
      </w:r>
      <w:r>
        <w:tab/>
      </w:r>
      <w:r>
        <w:tab/>
      </w:r>
      <w:r>
        <w:tab/>
      </w:r>
      <w:proofErr w:type="gramStart"/>
      <w:r w:rsidR="00E131D4">
        <w:t>additional</w:t>
      </w:r>
      <w:proofErr w:type="gramEnd"/>
      <w:r w:rsidR="00E131D4">
        <w:t xml:space="preserve"> member</w:t>
      </w:r>
    </w:p>
    <w:p w:rsidR="00585F59" w:rsidRPr="00585F59" w:rsidRDefault="00585F59" w:rsidP="005247BF">
      <w:pPr>
        <w:spacing w:line="240" w:lineRule="auto"/>
      </w:pPr>
    </w:p>
    <w:p w:rsidR="00E131D4" w:rsidRPr="005247BF" w:rsidRDefault="00E131D4" w:rsidP="005247BF">
      <w:pPr>
        <w:pStyle w:val="Heading3"/>
        <w:rPr>
          <w:b/>
        </w:rPr>
      </w:pPr>
      <w:r w:rsidRPr="005247BF">
        <w:rPr>
          <w:b/>
        </w:rPr>
        <w:t>Non-Manufacturing CBW</w:t>
      </w:r>
    </w:p>
    <w:p w:rsidR="00E131D4" w:rsidRPr="005247BF" w:rsidRDefault="00E131D4" w:rsidP="005247BF">
      <w:pPr>
        <w:pStyle w:val="SubLettering"/>
        <w:numPr>
          <w:ilvl w:val="0"/>
          <w:numId w:val="48"/>
        </w:numPr>
        <w:spacing w:before="240" w:after="0"/>
        <w:rPr>
          <w:b/>
        </w:rPr>
      </w:pPr>
      <w:proofErr w:type="spellStart"/>
      <w:r w:rsidRPr="00A61164">
        <w:t>Php</w:t>
      </w:r>
      <w:proofErr w:type="spellEnd"/>
      <w:r w:rsidRPr="00A61164">
        <w:t xml:space="preserve"> 300,000.00</w:t>
      </w:r>
    </w:p>
    <w:p w:rsidR="00E131D4" w:rsidRPr="005247BF" w:rsidRDefault="00E131D4" w:rsidP="005247BF">
      <w:pPr>
        <w:pStyle w:val="SubLettering"/>
        <w:numPr>
          <w:ilvl w:val="0"/>
          <w:numId w:val="48"/>
        </w:numPr>
        <w:spacing w:before="240" w:after="0"/>
        <w:rPr>
          <w:b/>
        </w:rPr>
      </w:pPr>
      <w:r>
        <w:t xml:space="preserve">For every extension warehouse - </w:t>
      </w:r>
      <w:proofErr w:type="spellStart"/>
      <w:r w:rsidR="00986790">
        <w:t>Php</w:t>
      </w:r>
      <w:proofErr w:type="spellEnd"/>
      <w:r w:rsidR="00986790">
        <w:t xml:space="preserve"> 50,000.00</w:t>
      </w: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Pr="005247BF" w:rsidRDefault="00670CEC" w:rsidP="005247BF">
      <w:pPr>
        <w:pStyle w:val="Heading2"/>
        <w:rPr>
          <w:b/>
        </w:rPr>
      </w:pPr>
      <w:r w:rsidRPr="005247BF">
        <w:rPr>
          <w:b/>
        </w:rPr>
        <w:t xml:space="preserve">Administrative </w:t>
      </w:r>
      <w:r w:rsidR="00B601CF">
        <w:rPr>
          <w:b/>
        </w:rPr>
        <w:t>Provisions</w:t>
      </w:r>
      <w:r w:rsidR="00B601CF" w:rsidRPr="005247BF">
        <w:rPr>
          <w:b/>
        </w:rPr>
        <w:t xml:space="preserve"> </w:t>
      </w:r>
      <w:r w:rsidRPr="005247BF">
        <w:rPr>
          <w:b/>
        </w:rPr>
        <w:t>for CBWs</w:t>
      </w:r>
      <w:r w:rsidR="009A5974">
        <w:rPr>
          <w:b/>
        </w:rPr>
        <w:t>.</w:t>
      </w: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670CEC" w:rsidP="005247BF">
      <w:pPr>
        <w:pStyle w:val="Heading3"/>
      </w:pPr>
      <w:r>
        <w:rPr>
          <w:b/>
        </w:rPr>
        <w:t>Submission of the Audited Financial Statements</w:t>
      </w:r>
      <w:r w:rsidR="009A5974">
        <w:rPr>
          <w:b/>
        </w:rPr>
        <w:t xml:space="preserve">. </w:t>
      </w:r>
      <w:r>
        <w:t xml:space="preserve">For monitoring purposes, the CBW operator shall submit its annual Audited Financial Statement for the immediately preceding calendar or fiscal year, as the case may be to the </w:t>
      </w:r>
      <w:r w:rsidR="00986790" w:rsidRPr="005247BF">
        <w:rPr>
          <w:color w:val="auto"/>
        </w:rPr>
        <w:t>District Collector</w:t>
      </w:r>
      <w:r w:rsidRPr="005247BF">
        <w:rPr>
          <w:color w:val="auto"/>
        </w:rPr>
        <w:t xml:space="preserve"> </w:t>
      </w:r>
      <w:r w:rsidR="00986790">
        <w:t xml:space="preserve">not later than </w:t>
      </w:r>
      <w:r>
        <w:t>ten (10) days from its filing to the Bureau of Internal Revenue.</w:t>
      </w:r>
    </w:p>
    <w:p w:rsidR="008A7E17" w:rsidRDefault="008A7E17" w:rsidP="005247BF">
      <w:pPr>
        <w:pStyle w:val="NoSpacing1"/>
        <w:tabs>
          <w:tab w:val="left" w:pos="1080"/>
        </w:tabs>
        <w:ind w:left="1440"/>
        <w:jc w:val="both"/>
        <w:rPr>
          <w:rFonts w:ascii="Tahoma" w:hAnsi="Tahoma" w:cs="Tahoma"/>
          <w:color w:val="000000" w:themeColor="text1"/>
          <w:sz w:val="24"/>
          <w:szCs w:val="24"/>
        </w:rPr>
      </w:pPr>
    </w:p>
    <w:p w:rsidR="008A7E17" w:rsidRDefault="00670CEC" w:rsidP="005247BF">
      <w:pPr>
        <w:pStyle w:val="Heading3"/>
      </w:pPr>
      <w:r>
        <w:rPr>
          <w:b/>
        </w:rPr>
        <w:t>Assignment of Customs Personnel</w:t>
      </w:r>
      <w:r w:rsidR="009A5974">
        <w:rPr>
          <w:b/>
        </w:rPr>
        <w:t xml:space="preserve">. </w:t>
      </w:r>
      <w:r>
        <w:t>Unless the Commissioner provides otherwise, the District Collector having jurisdiction over the CBW shall assign such number of customs personnel necessary to monitor the operation of the CBW.</w:t>
      </w:r>
      <w:r w:rsidR="00C5186B">
        <w:rPr>
          <w:rStyle w:val="FootnoteReference"/>
        </w:rPr>
        <w:footnoteReference w:id="40"/>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8A7E17" w:rsidRDefault="00670CEC" w:rsidP="005247BF">
      <w:pPr>
        <w:pStyle w:val="Heading3"/>
      </w:pPr>
      <w:r>
        <w:rPr>
          <w:b/>
        </w:rPr>
        <w:t xml:space="preserve">Provision for a Suitable Working Space of </w:t>
      </w:r>
      <w:r w:rsidR="004316E2">
        <w:rPr>
          <w:b/>
        </w:rPr>
        <w:t xml:space="preserve">Bureau </w:t>
      </w:r>
      <w:r>
        <w:rPr>
          <w:b/>
        </w:rPr>
        <w:t>Personnel</w:t>
      </w:r>
      <w:r w:rsidR="009A5974" w:rsidRPr="005247BF">
        <w:rPr>
          <w:b/>
        </w:rPr>
        <w:t>.</w:t>
      </w:r>
      <w:r w:rsidR="009A5974">
        <w:t xml:space="preserve"> </w:t>
      </w:r>
      <w:r>
        <w:t xml:space="preserve">The CBW operator shall provide customs personnel </w:t>
      </w:r>
      <w:r>
        <w:lastRenderedPageBreak/>
        <w:t>with suitable working areas complete with office equipment and supplies.</w:t>
      </w:r>
      <w:r w:rsidR="00115D81">
        <w:rPr>
          <w:rStyle w:val="FootnoteReference"/>
        </w:rPr>
        <w:footnoteReference w:id="41"/>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8A7E17" w:rsidRDefault="00670CEC" w:rsidP="005247BF">
      <w:pPr>
        <w:pStyle w:val="Heading3"/>
      </w:pPr>
      <w:r>
        <w:rPr>
          <w:b/>
        </w:rPr>
        <w:t>Work Hour</w:t>
      </w:r>
      <w:r w:rsidR="009A5974">
        <w:rPr>
          <w:b/>
        </w:rPr>
        <w:t xml:space="preserve">s. </w:t>
      </w:r>
      <w:r>
        <w:t xml:space="preserve">Customs </w:t>
      </w:r>
      <w:r w:rsidR="00E52764">
        <w:t xml:space="preserve">personnel </w:t>
      </w:r>
      <w:r>
        <w:t>assigned to CBWs shall strictly observe regular office hours and record their attendance in accordance with Civil Service Rules and Regulations. The CBW operator shall promptly report to the District Collector any unauthorized absences. The services of the customs personnel requested by the operator which are performed outside the regular office hours, including Saturdays, Sundays and holidays, shall be considered overtime work compensated pursuant to applicable Civil Service Rules and Regulations.</w:t>
      </w:r>
      <w:r w:rsidR="00C5186B">
        <w:rPr>
          <w:rStyle w:val="FootnoteReference"/>
        </w:rPr>
        <w:footnoteReference w:id="42"/>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C5186B" w:rsidRPr="005247BF" w:rsidRDefault="00670CEC" w:rsidP="005247BF">
      <w:pPr>
        <w:pStyle w:val="Heading3"/>
      </w:pPr>
      <w:r>
        <w:rPr>
          <w:b/>
        </w:rPr>
        <w:t>Locks and Keys</w:t>
      </w:r>
      <w:r w:rsidR="009A5974">
        <w:rPr>
          <w:b/>
        </w:rPr>
        <w:t>.</w:t>
      </w:r>
      <w:r>
        <w:rPr>
          <w:b/>
        </w:rPr>
        <w:t xml:space="preserve"> </w:t>
      </w:r>
      <w:r>
        <w:t>The door and entrance to a CBW and the designated compartments for new materials, finished goods and wastages, rejects and by-products shall have</w:t>
      </w:r>
      <w:r w:rsidR="00986790">
        <w:t xml:space="preserve"> secured locking system which complies with the</w:t>
      </w:r>
      <w:r w:rsidR="00CA4D48">
        <w:t xml:space="preserve"> standard and</w:t>
      </w:r>
      <w:r w:rsidR="00986790">
        <w:t xml:space="preserve"> specification</w:t>
      </w:r>
      <w:r w:rsidR="00CA4D48">
        <w:t xml:space="preserve"> set by the Bureau. Access to the areas shall be limited to personnel authorized by both the Bureau and the CBW Operator.</w:t>
      </w:r>
      <w:r w:rsidR="00C5186B">
        <w:rPr>
          <w:rStyle w:val="FootnoteReference"/>
        </w:rPr>
        <w:footnoteReference w:id="43"/>
      </w:r>
      <w:r w:rsidR="00CA4D48">
        <w:t xml:space="preserve"> </w:t>
      </w:r>
    </w:p>
    <w:p w:rsidR="00D9259F" w:rsidRDefault="00D9259F" w:rsidP="005247BF">
      <w:pPr>
        <w:pStyle w:val="Heading3"/>
        <w:numPr>
          <w:ilvl w:val="0"/>
          <w:numId w:val="0"/>
        </w:numPr>
        <w:ind w:left="2430"/>
      </w:pPr>
    </w:p>
    <w:p w:rsidR="00D9259F" w:rsidRPr="00A61164" w:rsidRDefault="00670CEC" w:rsidP="005247BF">
      <w:pPr>
        <w:pStyle w:val="Heading3"/>
      </w:pPr>
      <w:r w:rsidRPr="005247BF">
        <w:rPr>
          <w:b/>
        </w:rPr>
        <w:t>Principal Books</w:t>
      </w:r>
      <w:r w:rsidR="003D3690" w:rsidRPr="005247BF">
        <w:rPr>
          <w:b/>
        </w:rPr>
        <w:t xml:space="preserve"> of Accounts</w:t>
      </w:r>
      <w:r w:rsidR="009A5974" w:rsidRPr="005247BF">
        <w:rPr>
          <w:b/>
        </w:rPr>
        <w:t>.</w:t>
      </w:r>
      <w:r w:rsidR="003D3690">
        <w:t xml:space="preserve"> </w:t>
      </w:r>
      <w:r w:rsidR="00CA4D48">
        <w:t xml:space="preserve"> </w:t>
      </w:r>
      <w:r w:rsidR="00CC0304">
        <w:t>The Bureau and the CBW operator</w:t>
      </w:r>
      <w:r w:rsidR="00CC0304" w:rsidRPr="00A3264D">
        <w:t xml:space="preserve"> </w:t>
      </w:r>
      <w:r>
        <w:t xml:space="preserve">shall </w:t>
      </w:r>
      <w:r w:rsidR="00CC0304">
        <w:t>keep</w:t>
      </w:r>
      <w:r>
        <w:t xml:space="preserve"> </w:t>
      </w:r>
      <w:r w:rsidR="00CC0304">
        <w:t>and maintain</w:t>
      </w:r>
      <w:r w:rsidR="003D3690">
        <w:t xml:space="preserve"> </w:t>
      </w:r>
      <w:r w:rsidR="00CC0304" w:rsidRPr="00D272FC">
        <w:t xml:space="preserve">Principal Books of Accounts </w:t>
      </w:r>
      <w:r w:rsidR="003D3690">
        <w:t>containing the records</w:t>
      </w:r>
      <w:r>
        <w:t xml:space="preserve"> of </w:t>
      </w:r>
      <w:r w:rsidR="00FE7A61">
        <w:t xml:space="preserve">importation and exportation of </w:t>
      </w:r>
      <w:r>
        <w:t xml:space="preserve">all goods delivered to </w:t>
      </w:r>
      <w:r w:rsidR="003D3690">
        <w:t xml:space="preserve">and withdrawn from </w:t>
      </w:r>
      <w:r>
        <w:t>a CBW</w:t>
      </w:r>
      <w:r w:rsidR="00FE7A61">
        <w:t>.</w:t>
      </w:r>
      <w:r w:rsidR="00C5186B">
        <w:rPr>
          <w:rStyle w:val="FootnoteReference"/>
        </w:rPr>
        <w:footnoteReference w:id="44"/>
      </w:r>
      <w:r w:rsidR="00C5186B">
        <w:rPr>
          <w:color w:val="FF0000"/>
        </w:rPr>
        <w:t xml:space="preserve"> </w:t>
      </w:r>
      <w:r w:rsidR="00D9259F" w:rsidRPr="00A61164">
        <w:t>As far as practicable, the Bureau</w:t>
      </w:r>
      <w:r w:rsidR="00A414C3">
        <w:t xml:space="preserve"> and CBW operator</w:t>
      </w:r>
      <w:r w:rsidR="00D9259F" w:rsidRPr="00A61164">
        <w:t xml:space="preserve"> shall </w:t>
      </w:r>
      <w:r w:rsidR="00FF3411">
        <w:t xml:space="preserve">develop and </w:t>
      </w:r>
      <w:r w:rsidR="00D9259F" w:rsidRPr="00A61164">
        <w:t xml:space="preserve">maintain </w:t>
      </w:r>
      <w:r w:rsidR="000B1D5B">
        <w:t xml:space="preserve">an </w:t>
      </w:r>
      <w:r w:rsidR="00D9259F" w:rsidRPr="00A61164">
        <w:t>ICT-enabled inventory</w:t>
      </w:r>
      <w:r w:rsidR="00D9259F">
        <w:t xml:space="preserve"> and liquidation</w:t>
      </w:r>
      <w:r w:rsidR="00D9259F" w:rsidRPr="00A61164">
        <w:t xml:space="preserve"> system of all goods delivered to and withdrawn from a CBW</w:t>
      </w:r>
      <w:r w:rsidR="0077353A">
        <w:t>, which may serve as the principal books of accounts.</w:t>
      </w:r>
    </w:p>
    <w:p w:rsidR="008A7E17" w:rsidRDefault="00D9259F" w:rsidP="005247BF">
      <w:pPr>
        <w:pStyle w:val="ListParagraph1"/>
        <w:tabs>
          <w:tab w:val="left" w:pos="1080"/>
        </w:tabs>
        <w:spacing w:after="0" w:line="240" w:lineRule="auto"/>
        <w:ind w:left="0"/>
        <w:jc w:val="both"/>
        <w:rPr>
          <w:rFonts w:ascii="Tahoma" w:hAnsi="Tahoma" w:cs="Tahoma"/>
          <w:b/>
          <w:color w:val="000000" w:themeColor="text1"/>
          <w:sz w:val="24"/>
          <w:szCs w:val="24"/>
        </w:rPr>
      </w:pPr>
      <w:r w:rsidDel="00D9259F">
        <w:rPr>
          <w:rFonts w:ascii="Tahoma" w:hAnsi="Tahoma" w:cs="Tahoma"/>
          <w:color w:val="000000" w:themeColor="text1"/>
          <w:sz w:val="24"/>
          <w:szCs w:val="24"/>
        </w:rPr>
        <w:t xml:space="preserve"> </w:t>
      </w:r>
      <w:r>
        <w:rPr>
          <w:rFonts w:ascii="Tahoma" w:hAnsi="Tahoma" w:cs="Tahoma"/>
          <w:color w:val="000000" w:themeColor="text1"/>
          <w:sz w:val="24"/>
          <w:szCs w:val="24"/>
        </w:rPr>
        <w:tab/>
      </w:r>
    </w:p>
    <w:p w:rsidR="008850EE" w:rsidRPr="00A3264D" w:rsidRDefault="00670CEC" w:rsidP="005247BF">
      <w:pPr>
        <w:pStyle w:val="Heading3"/>
        <w:contextualSpacing/>
      </w:pPr>
      <w:r>
        <w:rPr>
          <w:b/>
        </w:rPr>
        <w:t>Production of Documents</w:t>
      </w:r>
      <w:r w:rsidR="009A5974" w:rsidRPr="005247BF">
        <w:rPr>
          <w:b/>
        </w:rPr>
        <w:t>.</w:t>
      </w:r>
      <w:r w:rsidR="009A5974">
        <w:t xml:space="preserve"> </w:t>
      </w:r>
      <w:r>
        <w:t>All documents, books, and records of accounts concerning the operation of any CBW shall, upon demand, be made available to the District Collector or the representative of the District Collector for examination or audit.</w:t>
      </w:r>
      <w:r w:rsidR="00C02473">
        <w:rPr>
          <w:rStyle w:val="FootnoteReference"/>
        </w:rPr>
        <w:footnoteReference w:id="45"/>
      </w:r>
      <w:r w:rsidR="00C25831" w:rsidRPr="00C25831">
        <w:t xml:space="preserve"> </w:t>
      </w:r>
    </w:p>
    <w:p w:rsidR="00C25831" w:rsidRDefault="009B46A6" w:rsidP="005247BF">
      <w:pPr>
        <w:spacing w:after="0" w:line="240" w:lineRule="auto"/>
        <w:ind w:left="2434"/>
        <w:contextualSpacing/>
        <w:jc w:val="both"/>
        <w:rPr>
          <w:rFonts w:ascii="Tahoma" w:hAnsi="Tahoma" w:cs="Tahoma"/>
          <w:sz w:val="24"/>
        </w:rPr>
      </w:pPr>
      <w:r>
        <w:rPr>
          <w:rFonts w:ascii="Tahoma" w:hAnsi="Tahoma" w:cs="Tahoma"/>
          <w:sz w:val="24"/>
        </w:rPr>
        <w:t xml:space="preserve">The </w:t>
      </w:r>
      <w:r w:rsidR="008850EE" w:rsidRPr="00D272FC">
        <w:rPr>
          <w:rFonts w:ascii="Tahoma" w:hAnsi="Tahoma" w:cs="Tahoma"/>
          <w:sz w:val="24"/>
        </w:rPr>
        <w:t>District Collector</w:t>
      </w:r>
      <w:r w:rsidR="008850EE">
        <w:rPr>
          <w:rFonts w:ascii="Tahoma" w:hAnsi="Tahoma" w:cs="Tahoma"/>
          <w:sz w:val="24"/>
        </w:rPr>
        <w:t xml:space="preserve"> shall issue </w:t>
      </w:r>
      <w:r w:rsidR="008850EE" w:rsidRPr="005247BF">
        <w:rPr>
          <w:rFonts w:ascii="Tahoma" w:hAnsi="Tahoma" w:cs="Tahoma"/>
          <w:sz w:val="24"/>
        </w:rPr>
        <w:t>a w</w:t>
      </w:r>
      <w:r w:rsidR="00C25831" w:rsidRPr="005247BF">
        <w:rPr>
          <w:rFonts w:ascii="Tahoma" w:hAnsi="Tahoma" w:cs="Tahoma"/>
          <w:sz w:val="24"/>
        </w:rPr>
        <w:t xml:space="preserve">ritten notice specifying the </w:t>
      </w:r>
      <w:r>
        <w:rPr>
          <w:rFonts w:ascii="Tahoma" w:hAnsi="Tahoma" w:cs="Tahoma"/>
          <w:sz w:val="24"/>
        </w:rPr>
        <w:t xml:space="preserve">documents to be requested, </w:t>
      </w:r>
      <w:r w:rsidR="00C25831" w:rsidRPr="005247BF">
        <w:rPr>
          <w:rFonts w:ascii="Tahoma" w:hAnsi="Tahoma" w:cs="Tahoma"/>
          <w:sz w:val="24"/>
        </w:rPr>
        <w:t xml:space="preserve">time and date of visit, </w:t>
      </w:r>
      <w:r w:rsidR="00C43682">
        <w:rPr>
          <w:rFonts w:ascii="Tahoma" w:hAnsi="Tahoma" w:cs="Tahoma"/>
          <w:sz w:val="24"/>
        </w:rPr>
        <w:t xml:space="preserve">and the </w:t>
      </w:r>
      <w:r w:rsidR="00C25831" w:rsidRPr="005247BF">
        <w:rPr>
          <w:rFonts w:ascii="Tahoma" w:hAnsi="Tahoma" w:cs="Tahoma"/>
          <w:sz w:val="24"/>
        </w:rPr>
        <w:t xml:space="preserve">name of </w:t>
      </w:r>
      <w:r w:rsidR="00C43682">
        <w:rPr>
          <w:rFonts w:ascii="Tahoma" w:hAnsi="Tahoma" w:cs="Tahoma"/>
          <w:sz w:val="24"/>
        </w:rPr>
        <w:t xml:space="preserve">the </w:t>
      </w:r>
      <w:r w:rsidR="00C25831" w:rsidRPr="005247BF">
        <w:rPr>
          <w:rFonts w:ascii="Tahoma" w:hAnsi="Tahoma" w:cs="Tahoma"/>
          <w:sz w:val="24"/>
        </w:rPr>
        <w:t xml:space="preserve">person duly authorized to receive and secure the </w:t>
      </w:r>
      <w:r>
        <w:rPr>
          <w:rFonts w:ascii="Tahoma" w:hAnsi="Tahoma" w:cs="Tahoma"/>
          <w:sz w:val="24"/>
        </w:rPr>
        <w:t>same</w:t>
      </w:r>
      <w:r w:rsidR="00C25831" w:rsidRPr="005247BF">
        <w:rPr>
          <w:rFonts w:ascii="Tahoma" w:hAnsi="Tahoma" w:cs="Tahoma"/>
          <w:sz w:val="24"/>
        </w:rPr>
        <w:t>.</w:t>
      </w:r>
      <w:r>
        <w:rPr>
          <w:rStyle w:val="FootnoteReference"/>
          <w:rFonts w:ascii="Tahoma" w:hAnsi="Tahoma" w:cs="Tahoma"/>
          <w:sz w:val="24"/>
        </w:rPr>
        <w:footnoteReference w:id="46"/>
      </w:r>
    </w:p>
    <w:p w:rsidR="008850EE" w:rsidRDefault="008850EE" w:rsidP="005247BF">
      <w:pPr>
        <w:spacing w:after="0" w:line="240" w:lineRule="auto"/>
        <w:ind w:left="2434"/>
        <w:contextualSpacing/>
        <w:jc w:val="both"/>
      </w:pPr>
    </w:p>
    <w:p w:rsidR="008850EE" w:rsidRPr="005247BF" w:rsidRDefault="008850EE" w:rsidP="005247BF">
      <w:pPr>
        <w:ind w:left="2430"/>
        <w:jc w:val="both"/>
        <w:rPr>
          <w:rFonts w:ascii="Tahoma" w:hAnsi="Tahoma" w:cs="Tahoma"/>
          <w:sz w:val="24"/>
          <w:szCs w:val="24"/>
        </w:rPr>
      </w:pPr>
      <w:r w:rsidRPr="005247BF">
        <w:rPr>
          <w:rFonts w:ascii="Tahoma" w:hAnsi="Tahoma" w:cs="Tahoma"/>
          <w:sz w:val="24"/>
          <w:szCs w:val="24"/>
        </w:rPr>
        <w:lastRenderedPageBreak/>
        <w:t>For record purposes, all documents shall be kept for three (3) years.</w:t>
      </w:r>
      <w:r>
        <w:rPr>
          <w:rStyle w:val="FootnoteReference"/>
          <w:rFonts w:ascii="Tahoma" w:hAnsi="Tahoma" w:cs="Tahoma"/>
          <w:sz w:val="24"/>
          <w:szCs w:val="24"/>
        </w:rPr>
        <w:footnoteReference w:id="47"/>
      </w:r>
    </w:p>
    <w:p w:rsidR="008A7E17" w:rsidRDefault="00670CEC" w:rsidP="005247BF">
      <w:pPr>
        <w:pStyle w:val="Heading3"/>
      </w:pPr>
      <w:r>
        <w:rPr>
          <w:b/>
        </w:rPr>
        <w:t xml:space="preserve">Compliance Rating </w:t>
      </w:r>
      <w:r w:rsidRPr="00EB0364">
        <w:rPr>
          <w:b/>
        </w:rPr>
        <w:t>Syste</w:t>
      </w:r>
      <w:r w:rsidR="009A5974" w:rsidRPr="005247BF">
        <w:rPr>
          <w:b/>
        </w:rPr>
        <w:t>m.</w:t>
      </w:r>
      <w:r w:rsidR="009A5974">
        <w:t xml:space="preserve"> </w:t>
      </w:r>
      <w:r w:rsidR="000639A7">
        <w:t xml:space="preserve">The Commissioner shall establish a </w:t>
      </w:r>
      <w:r>
        <w:t xml:space="preserve">Compliance Rating System (CRS) which shall be used to measure and assess the compliance and performance levels of all CBWs especially with regard to applicable laws, rules and regulations and other performance factors such as import-export and economic viability, among others. The System shall be utilized by the </w:t>
      </w:r>
      <w:r w:rsidR="00C73892">
        <w:t xml:space="preserve">Bureau </w:t>
      </w:r>
      <w:r>
        <w:t xml:space="preserve">as a risk management mechanism in its evaluation of any application or used as basis in any action which may be taken by the </w:t>
      </w:r>
      <w:r w:rsidR="007F3AF8">
        <w:t xml:space="preserve">Bureau </w:t>
      </w:r>
      <w:r>
        <w:t>for or against a CBW.</w:t>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8A7E17" w:rsidRDefault="00670CEC" w:rsidP="005247BF">
      <w:pPr>
        <w:pStyle w:val="Heading3"/>
        <w:tabs>
          <w:tab w:val="left" w:pos="2520"/>
        </w:tabs>
      </w:pPr>
      <w:r>
        <w:rPr>
          <w:b/>
        </w:rPr>
        <w:t>Raw Material Importatio</w:t>
      </w:r>
      <w:r w:rsidR="009A5974">
        <w:rPr>
          <w:b/>
        </w:rPr>
        <w:t xml:space="preserve">n. </w:t>
      </w:r>
      <w:r>
        <w:t>CBW may import articles</w:t>
      </w:r>
      <w:r w:rsidR="00C71305">
        <w:t xml:space="preserve"> based on approved formula of manufacture</w:t>
      </w:r>
      <w:r>
        <w:t xml:space="preserve"> as authorized by the </w:t>
      </w:r>
      <w:r w:rsidR="00151FA1">
        <w:t xml:space="preserve">Bureau </w:t>
      </w:r>
      <w:r w:rsidR="00C736D6" w:rsidRPr="005247BF">
        <w:rPr>
          <w:color w:val="auto"/>
        </w:rPr>
        <w:t>or</w:t>
      </w:r>
      <w:r w:rsidRPr="005247BF">
        <w:rPr>
          <w:color w:val="auto"/>
        </w:rPr>
        <w:t xml:space="preserve"> </w:t>
      </w:r>
      <w:r>
        <w:t>other government regulatory agencies.</w:t>
      </w:r>
    </w:p>
    <w:p w:rsidR="008A7E17" w:rsidRDefault="008A7E17" w:rsidP="005247BF">
      <w:pPr>
        <w:pStyle w:val="ListParagraph1"/>
        <w:tabs>
          <w:tab w:val="left" w:pos="1080"/>
        </w:tabs>
        <w:spacing w:after="0" w:line="240" w:lineRule="auto"/>
        <w:jc w:val="both"/>
        <w:rPr>
          <w:rFonts w:ascii="Tahoma" w:hAnsi="Tahoma" w:cs="Tahoma"/>
          <w:b/>
          <w:color w:val="000000" w:themeColor="text1"/>
          <w:sz w:val="24"/>
          <w:szCs w:val="24"/>
        </w:rPr>
      </w:pPr>
    </w:p>
    <w:p w:rsidR="008A7E17" w:rsidRDefault="00670CEC" w:rsidP="005247BF">
      <w:pPr>
        <w:pStyle w:val="Heading3"/>
        <w:tabs>
          <w:tab w:val="left" w:pos="2520"/>
        </w:tabs>
      </w:pPr>
      <w:r>
        <w:rPr>
          <w:b/>
        </w:rPr>
        <w:t>Stock Inventor</w:t>
      </w:r>
      <w:r w:rsidR="009A5974">
        <w:rPr>
          <w:b/>
        </w:rPr>
        <w:t>y.</w:t>
      </w:r>
      <w:r w:rsidR="00085B46">
        <w:rPr>
          <w:b/>
        </w:rPr>
        <w:t xml:space="preserve"> </w:t>
      </w:r>
      <w:r w:rsidR="00085B46">
        <w:t>A</w:t>
      </w:r>
      <w:r w:rsidR="002B3E85">
        <w:t xml:space="preserve">ll </w:t>
      </w:r>
      <w:r>
        <w:t>CBWs</w:t>
      </w:r>
      <w:r w:rsidR="002B3E85">
        <w:t xml:space="preserve"> shall establish and maintain a</w:t>
      </w:r>
      <w:r>
        <w:t xml:space="preserve"> </w:t>
      </w:r>
      <w:r w:rsidR="002B3E85">
        <w:t>computer-based inventory system</w:t>
      </w:r>
      <w:r w:rsidR="00085B46">
        <w:t xml:space="preserve"> for bonded goods which is </w:t>
      </w:r>
      <w:r w:rsidR="002B3E85">
        <w:t>accessible</w:t>
      </w:r>
      <w:r>
        <w:t xml:space="preserve"> to the </w:t>
      </w:r>
      <w:r w:rsidR="00085B46">
        <w:t xml:space="preserve">Bureau. </w:t>
      </w:r>
      <w:r w:rsidR="008B00A5">
        <w:rPr>
          <w:rStyle w:val="FootnoteReference"/>
        </w:rPr>
        <w:footnoteReference w:id="48"/>
      </w:r>
    </w:p>
    <w:p w:rsidR="008A7E17" w:rsidRDefault="008A7E17" w:rsidP="005247BF">
      <w:pPr>
        <w:pStyle w:val="ListParagraph1"/>
        <w:tabs>
          <w:tab w:val="left" w:pos="1080"/>
        </w:tabs>
        <w:spacing w:after="0" w:line="240" w:lineRule="auto"/>
        <w:ind w:left="0"/>
        <w:jc w:val="both"/>
        <w:rPr>
          <w:rFonts w:ascii="Tahoma" w:hAnsi="Tahoma" w:cs="Tahoma"/>
          <w:b/>
          <w:color w:val="000000" w:themeColor="text1"/>
          <w:sz w:val="24"/>
          <w:szCs w:val="24"/>
        </w:rPr>
      </w:pPr>
    </w:p>
    <w:p w:rsidR="001114E0" w:rsidRDefault="005C710A" w:rsidP="005247BF">
      <w:pPr>
        <w:pStyle w:val="Heading2"/>
        <w:rPr>
          <w:b/>
        </w:rPr>
      </w:pPr>
      <w:r w:rsidRPr="005247BF" w:rsidDel="005C710A">
        <w:rPr>
          <w:b/>
        </w:rPr>
        <w:t xml:space="preserve"> </w:t>
      </w:r>
      <w:r w:rsidR="001114E0" w:rsidRPr="005247BF">
        <w:rPr>
          <w:b/>
        </w:rPr>
        <w:t>Operational Provisions for CBWs.</w:t>
      </w:r>
    </w:p>
    <w:p w:rsidR="005C710A" w:rsidRPr="005247BF" w:rsidRDefault="005C710A" w:rsidP="005247BF">
      <w:pPr>
        <w:pStyle w:val="Heading3"/>
        <w:numPr>
          <w:ilvl w:val="0"/>
          <w:numId w:val="0"/>
        </w:numPr>
        <w:tabs>
          <w:tab w:val="left" w:pos="2520"/>
        </w:tabs>
        <w:ind w:left="2430"/>
      </w:pPr>
    </w:p>
    <w:p w:rsidR="005C710A" w:rsidRDefault="005C710A" w:rsidP="005C710A">
      <w:pPr>
        <w:pStyle w:val="Heading3"/>
        <w:tabs>
          <w:tab w:val="left" w:pos="2520"/>
        </w:tabs>
      </w:pPr>
      <w:proofErr w:type="spellStart"/>
      <w:r>
        <w:rPr>
          <w:b/>
        </w:rPr>
        <w:t>Lodgement</w:t>
      </w:r>
      <w:proofErr w:type="spellEnd"/>
      <w:r w:rsidRPr="00D272FC">
        <w:rPr>
          <w:b/>
        </w:rPr>
        <w:t xml:space="preserve"> of Warehousing Entry or Transit Declaration.</w:t>
      </w:r>
      <w:r>
        <w:t xml:space="preserve"> A single goods declaration shall be lodged by the CBW operator and accepted by the Bureau as warehousing and transit declaration whenever appropriate.</w:t>
      </w:r>
    </w:p>
    <w:p w:rsidR="005C710A" w:rsidRPr="00636898" w:rsidRDefault="005C710A" w:rsidP="005C710A">
      <w:pPr>
        <w:pStyle w:val="Heading3"/>
        <w:numPr>
          <w:ilvl w:val="0"/>
          <w:numId w:val="0"/>
        </w:numPr>
        <w:tabs>
          <w:tab w:val="left" w:pos="2520"/>
        </w:tabs>
        <w:ind w:left="2430"/>
      </w:pPr>
    </w:p>
    <w:p w:rsidR="005C710A" w:rsidRDefault="005C710A" w:rsidP="005C710A">
      <w:pPr>
        <w:pStyle w:val="Heading3"/>
        <w:tabs>
          <w:tab w:val="left" w:pos="2520"/>
        </w:tabs>
      </w:pPr>
      <w:r w:rsidRPr="00D272FC">
        <w:rPr>
          <w:b/>
        </w:rPr>
        <w:t xml:space="preserve">Posting of Security for Goods </w:t>
      </w:r>
      <w:r>
        <w:rPr>
          <w:b/>
        </w:rPr>
        <w:t>S</w:t>
      </w:r>
      <w:r w:rsidRPr="00D272FC">
        <w:rPr>
          <w:b/>
        </w:rPr>
        <w:t xml:space="preserve">tored in CBWs. </w:t>
      </w:r>
      <w:r>
        <w:rPr>
          <w:b/>
        </w:rPr>
        <w:t xml:space="preserve"> </w:t>
      </w:r>
      <w:r>
        <w:t>For goods declared and entered under the CBW scheme, the District Collector shall require the importer to post sufficient security equivalent to the assessed duties, taxes and other charges, as a condition for the storage and withdrawal of the bonded goods within the period prescribed by Section 811, Chapter 2, Title VIII of the CMTA, or the payment of duties, taxes and other charges upon compliance with all importation requirements.</w:t>
      </w:r>
    </w:p>
    <w:p w:rsidR="005C710A" w:rsidRPr="00636898" w:rsidRDefault="005C710A" w:rsidP="005C710A">
      <w:pPr>
        <w:pStyle w:val="Heading3"/>
        <w:numPr>
          <w:ilvl w:val="0"/>
          <w:numId w:val="0"/>
        </w:numPr>
        <w:tabs>
          <w:tab w:val="left" w:pos="2520"/>
        </w:tabs>
        <w:ind w:left="2430"/>
        <w:contextualSpacing/>
      </w:pPr>
    </w:p>
    <w:p w:rsidR="005C710A" w:rsidRDefault="005C710A" w:rsidP="005C710A">
      <w:pPr>
        <w:pStyle w:val="Heading3"/>
        <w:tabs>
          <w:tab w:val="left" w:pos="2520"/>
        </w:tabs>
        <w:contextualSpacing/>
      </w:pPr>
      <w:r w:rsidRPr="00636898">
        <w:rPr>
          <w:b/>
          <w:color w:val="auto"/>
        </w:rPr>
        <w:t xml:space="preserve">Transfers of </w:t>
      </w:r>
      <w:r>
        <w:rPr>
          <w:b/>
          <w:color w:val="auto"/>
        </w:rPr>
        <w:t>Bonded Goods</w:t>
      </w:r>
      <w:r w:rsidRPr="00636898">
        <w:rPr>
          <w:b/>
          <w:bCs/>
          <w:color w:val="auto"/>
        </w:rPr>
        <w:t>.</w:t>
      </w:r>
      <w:r w:rsidRPr="00636898">
        <w:rPr>
          <w:bCs/>
          <w:color w:val="auto"/>
        </w:rPr>
        <w:t xml:space="preserve"> </w:t>
      </w:r>
      <w:r w:rsidRPr="00636898">
        <w:rPr>
          <w:color w:val="auto"/>
        </w:rPr>
        <w:t>Unless the covering goods declaration is placed under Alert Order or selected Red, the District Collector shall allow direct transfer of bonded goods to the CBW where the examination shall be conducted.</w:t>
      </w:r>
      <w:r w:rsidRPr="00F64958">
        <w:t xml:space="preserve"> </w:t>
      </w:r>
      <w:r>
        <w:t xml:space="preserve">The Bureau shall </w:t>
      </w:r>
      <w:r>
        <w:lastRenderedPageBreak/>
        <w:t>establish a mechanism to ensure the integrity of the bonded goods during the transfer of shipment from the port of entry to the CBW.</w:t>
      </w:r>
    </w:p>
    <w:p w:rsidR="005C710A" w:rsidRDefault="005C710A" w:rsidP="005C710A">
      <w:pPr>
        <w:pStyle w:val="Heading3"/>
        <w:numPr>
          <w:ilvl w:val="0"/>
          <w:numId w:val="0"/>
        </w:numPr>
        <w:tabs>
          <w:tab w:val="left" w:pos="2520"/>
        </w:tabs>
        <w:ind w:left="1620"/>
        <w:rPr>
          <w:b/>
        </w:rPr>
      </w:pPr>
    </w:p>
    <w:p w:rsidR="005C710A" w:rsidRPr="00D272FC" w:rsidRDefault="005C710A" w:rsidP="005C710A">
      <w:pPr>
        <w:pStyle w:val="Heading3"/>
        <w:tabs>
          <w:tab w:val="left" w:pos="2520"/>
        </w:tabs>
      </w:pPr>
      <w:r w:rsidRPr="00636898">
        <w:rPr>
          <w:b/>
        </w:rPr>
        <w:t>Withdrawal of Goods from CB</w:t>
      </w:r>
      <w:r>
        <w:rPr>
          <w:b/>
        </w:rPr>
        <w:t>M</w:t>
      </w:r>
      <w:r w:rsidRPr="00636898">
        <w:rPr>
          <w:b/>
        </w:rPr>
        <w:t>Ws.</w:t>
      </w:r>
      <w:r w:rsidRPr="00C30521">
        <w:t xml:space="preserve"> </w:t>
      </w:r>
      <w:r>
        <w:t xml:space="preserve">The CBMW operator shall, within the prescribed storage period, apply for withdrawal of the bonded goods for production.  </w:t>
      </w:r>
    </w:p>
    <w:p w:rsidR="005C710A" w:rsidRDefault="005C710A" w:rsidP="005C710A">
      <w:pPr>
        <w:pStyle w:val="Heading3"/>
        <w:numPr>
          <w:ilvl w:val="0"/>
          <w:numId w:val="0"/>
        </w:numPr>
        <w:tabs>
          <w:tab w:val="left" w:pos="2520"/>
        </w:tabs>
        <w:ind w:left="2430"/>
        <w:contextualSpacing/>
      </w:pPr>
    </w:p>
    <w:p w:rsidR="005C710A" w:rsidRDefault="005C710A" w:rsidP="005C710A">
      <w:pPr>
        <w:pStyle w:val="Heading3"/>
        <w:tabs>
          <w:tab w:val="left" w:pos="2520"/>
        </w:tabs>
        <w:contextualSpacing/>
      </w:pPr>
      <w:r>
        <w:rPr>
          <w:b/>
        </w:rPr>
        <w:t>Identification of Bonded Goods Prior to Stuffing for Export</w:t>
      </w:r>
      <w:r w:rsidRPr="00D272FC">
        <w:rPr>
          <w:b/>
        </w:rPr>
        <w:t>.</w:t>
      </w:r>
      <w:r>
        <w:t xml:space="preserve"> The CBW operator shall notify the </w:t>
      </w:r>
      <w:r w:rsidRPr="00D272FC">
        <w:rPr>
          <w:color w:val="auto"/>
        </w:rPr>
        <w:t xml:space="preserve">District Collector in </w:t>
      </w:r>
      <w:r>
        <w:t>advance before any actual stuffing into a container shall be made.</w:t>
      </w:r>
    </w:p>
    <w:p w:rsidR="005C710A" w:rsidRDefault="005C710A" w:rsidP="005C710A">
      <w:pPr>
        <w:pStyle w:val="Heading3"/>
        <w:numPr>
          <w:ilvl w:val="0"/>
          <w:numId w:val="0"/>
        </w:numPr>
        <w:tabs>
          <w:tab w:val="left" w:pos="2250"/>
          <w:tab w:val="left" w:pos="2340"/>
          <w:tab w:val="left" w:pos="2520"/>
        </w:tabs>
        <w:ind w:left="2430"/>
      </w:pPr>
      <w:r>
        <w:t xml:space="preserve">All goods for export by CBW shall be stuffed only upon prior examination by a customs officer who shall issue the Certificate of Identification (CI). </w:t>
      </w:r>
    </w:p>
    <w:p w:rsidR="005C710A" w:rsidRDefault="005C710A" w:rsidP="005C710A">
      <w:pPr>
        <w:pStyle w:val="Heading3"/>
        <w:numPr>
          <w:ilvl w:val="0"/>
          <w:numId w:val="0"/>
        </w:numPr>
        <w:tabs>
          <w:tab w:val="left" w:pos="2520"/>
        </w:tabs>
        <w:ind w:left="2430"/>
      </w:pPr>
    </w:p>
    <w:p w:rsidR="005C710A" w:rsidRDefault="005C710A" w:rsidP="005C710A">
      <w:pPr>
        <w:pStyle w:val="Heading3"/>
        <w:tabs>
          <w:tab w:val="left" w:pos="2520"/>
        </w:tabs>
      </w:pPr>
      <w:r>
        <w:rPr>
          <w:b/>
        </w:rPr>
        <w:t xml:space="preserve">Exportation of CBW Products. </w:t>
      </w:r>
      <w:r w:rsidRPr="00636898">
        <w:t xml:space="preserve">The CBW </w:t>
      </w:r>
      <w:r>
        <w:t xml:space="preserve">operator </w:t>
      </w:r>
      <w:r w:rsidRPr="00636898">
        <w:t xml:space="preserve">shall lodge </w:t>
      </w:r>
      <w:r>
        <w:t>an</w:t>
      </w:r>
      <w:r w:rsidRPr="00636898">
        <w:t xml:space="preserve"> export declaration </w:t>
      </w:r>
      <w:r w:rsidRPr="00A3264D">
        <w:t>for</w:t>
      </w:r>
      <w:r w:rsidRPr="00636898">
        <w:t xml:space="preserve"> finished</w:t>
      </w:r>
      <w:r>
        <w:t xml:space="preserve"> products which are manufactured in CBWs within the prescribed period.</w:t>
      </w:r>
    </w:p>
    <w:p w:rsidR="005C710A" w:rsidRPr="00636898" w:rsidRDefault="005C710A" w:rsidP="005C710A">
      <w:pPr>
        <w:pStyle w:val="Heading3"/>
        <w:numPr>
          <w:ilvl w:val="0"/>
          <w:numId w:val="0"/>
        </w:numPr>
        <w:tabs>
          <w:tab w:val="left" w:pos="2520"/>
          <w:tab w:val="left" w:pos="3420"/>
          <w:tab w:val="left" w:pos="3510"/>
          <w:tab w:val="left" w:pos="3600"/>
          <w:tab w:val="left" w:pos="3690"/>
          <w:tab w:val="left" w:pos="3780"/>
          <w:tab w:val="left" w:pos="3960"/>
        </w:tabs>
        <w:ind w:left="2430"/>
      </w:pPr>
    </w:p>
    <w:p w:rsidR="005C710A" w:rsidRDefault="005C710A" w:rsidP="005C710A">
      <w:pPr>
        <w:pStyle w:val="Heading3"/>
        <w:tabs>
          <w:tab w:val="left" w:pos="2520"/>
          <w:tab w:val="left" w:pos="3420"/>
          <w:tab w:val="left" w:pos="3510"/>
          <w:tab w:val="left" w:pos="3600"/>
          <w:tab w:val="left" w:pos="3690"/>
          <w:tab w:val="left" w:pos="3780"/>
          <w:tab w:val="left" w:pos="3960"/>
        </w:tabs>
      </w:pPr>
      <w:r>
        <w:rPr>
          <w:b/>
        </w:rPr>
        <w:t xml:space="preserve">Wastages. </w:t>
      </w:r>
      <w:r>
        <w:t>Wastages, rejects and by-products in the manufacture of export products shall be properly accounted for and disposed of in accordance with existing rules and regulations.</w:t>
      </w:r>
      <w:r>
        <w:rPr>
          <w:rStyle w:val="FootnoteReference"/>
        </w:rPr>
        <w:footnoteReference w:id="49"/>
      </w:r>
    </w:p>
    <w:p w:rsidR="005C710A" w:rsidRDefault="005C710A" w:rsidP="005C710A">
      <w:pPr>
        <w:pStyle w:val="Heading3"/>
        <w:numPr>
          <w:ilvl w:val="0"/>
          <w:numId w:val="0"/>
        </w:numPr>
        <w:tabs>
          <w:tab w:val="left" w:pos="2520"/>
        </w:tabs>
        <w:ind w:left="2430"/>
      </w:pPr>
    </w:p>
    <w:p w:rsidR="005C710A" w:rsidRDefault="005C710A" w:rsidP="005C710A">
      <w:pPr>
        <w:pStyle w:val="Heading3"/>
        <w:tabs>
          <w:tab w:val="left" w:pos="2520"/>
        </w:tabs>
        <w:contextualSpacing/>
      </w:pPr>
      <w:r>
        <w:rPr>
          <w:b/>
        </w:rPr>
        <w:t>Liquidation of Warehousing Entry and Cancellation of Bond.</w:t>
      </w:r>
      <w:r w:rsidDel="000B4DBF">
        <w:t xml:space="preserve"> </w:t>
      </w:r>
      <w:r w:rsidRPr="00D272FC">
        <w:t xml:space="preserve">The CBW </w:t>
      </w:r>
      <w:r>
        <w:t xml:space="preserve">operator shall cause the liquidation of the warehousing entry and the cancellation of the bonds related to </w:t>
      </w:r>
      <w:r w:rsidRPr="00A3264D">
        <w:t>the finished products</w:t>
      </w:r>
      <w:r w:rsidRPr="00636898">
        <w:t>.</w:t>
      </w:r>
    </w:p>
    <w:p w:rsidR="005C710A" w:rsidRPr="004F3114" w:rsidRDefault="005C710A" w:rsidP="005C710A">
      <w:pPr>
        <w:spacing w:after="0" w:line="240" w:lineRule="auto"/>
        <w:contextualSpacing/>
      </w:pPr>
    </w:p>
    <w:p w:rsidR="005C710A" w:rsidRDefault="005C710A" w:rsidP="005C710A">
      <w:pPr>
        <w:spacing w:after="0" w:line="240" w:lineRule="auto"/>
        <w:ind w:left="2430"/>
        <w:contextualSpacing/>
        <w:jc w:val="both"/>
        <w:rPr>
          <w:rFonts w:ascii="Tahoma" w:hAnsi="Tahoma" w:cs="Tahoma"/>
          <w:sz w:val="24"/>
          <w:szCs w:val="24"/>
        </w:rPr>
      </w:pPr>
      <w:r w:rsidRPr="00636898">
        <w:rPr>
          <w:rFonts w:ascii="Tahoma" w:hAnsi="Tahoma" w:cs="Tahoma"/>
          <w:sz w:val="24"/>
          <w:szCs w:val="24"/>
        </w:rPr>
        <w:t>The Bureau shall establish and maintain</w:t>
      </w:r>
      <w:r w:rsidRPr="00636898">
        <w:rPr>
          <w:rFonts w:ascii="Tahoma" w:hAnsi="Tahoma" w:cs="Tahoma"/>
          <w:b/>
          <w:sz w:val="24"/>
          <w:szCs w:val="24"/>
        </w:rPr>
        <w:t xml:space="preserve"> </w:t>
      </w:r>
      <w:r w:rsidRPr="00636898">
        <w:rPr>
          <w:rFonts w:ascii="Tahoma" w:hAnsi="Tahoma" w:cs="Tahoma"/>
          <w:sz w:val="24"/>
          <w:szCs w:val="24"/>
        </w:rPr>
        <w:t xml:space="preserve">an ICT-enabled system to account for the raw materials used in the manufacture of </w:t>
      </w:r>
      <w:r>
        <w:rPr>
          <w:rFonts w:ascii="Tahoma" w:hAnsi="Tahoma" w:cs="Tahoma"/>
          <w:sz w:val="24"/>
          <w:szCs w:val="24"/>
        </w:rPr>
        <w:t>goods</w:t>
      </w:r>
      <w:r w:rsidRPr="00636898">
        <w:rPr>
          <w:rFonts w:ascii="Tahoma" w:hAnsi="Tahoma" w:cs="Tahoma"/>
          <w:sz w:val="24"/>
          <w:szCs w:val="24"/>
        </w:rPr>
        <w:t xml:space="preserve"> and the resulting wastages for liquidation</w:t>
      </w:r>
      <w:r>
        <w:rPr>
          <w:rFonts w:ascii="Tahoma" w:hAnsi="Tahoma" w:cs="Tahoma"/>
          <w:sz w:val="24"/>
          <w:szCs w:val="24"/>
        </w:rPr>
        <w:t>;</w:t>
      </w:r>
      <w:r w:rsidRPr="00636898">
        <w:rPr>
          <w:rStyle w:val="FootnoteReference"/>
          <w:rFonts w:ascii="Tahoma" w:hAnsi="Tahoma" w:cs="Tahoma"/>
          <w:sz w:val="24"/>
          <w:szCs w:val="24"/>
        </w:rPr>
        <w:footnoteReference w:id="50"/>
      </w:r>
      <w:r>
        <w:rPr>
          <w:rFonts w:ascii="Tahoma" w:hAnsi="Tahoma" w:cs="Tahoma"/>
          <w:sz w:val="24"/>
          <w:szCs w:val="24"/>
        </w:rPr>
        <w:t xml:space="preserve"> and </w:t>
      </w:r>
      <w:r w:rsidRPr="00D272FC">
        <w:rPr>
          <w:rFonts w:ascii="Tahoma" w:hAnsi="Tahoma" w:cs="Tahoma"/>
          <w:sz w:val="24"/>
          <w:szCs w:val="24"/>
        </w:rPr>
        <w:t>to monitor the</w:t>
      </w:r>
      <w:r w:rsidRPr="00D272FC" w:rsidDel="00891A8D">
        <w:rPr>
          <w:rFonts w:ascii="Tahoma" w:hAnsi="Tahoma" w:cs="Tahoma"/>
          <w:sz w:val="24"/>
          <w:szCs w:val="24"/>
        </w:rPr>
        <w:t xml:space="preserve"> </w:t>
      </w:r>
      <w:r w:rsidRPr="00D272FC">
        <w:rPr>
          <w:rFonts w:ascii="Tahoma" w:hAnsi="Tahoma" w:cs="Tahoma"/>
          <w:sz w:val="24"/>
          <w:szCs w:val="24"/>
        </w:rPr>
        <w:t>posting, charging, cancellation and aging of bonds for CBMW.</w:t>
      </w:r>
      <w:r w:rsidRPr="00D272FC">
        <w:rPr>
          <w:rStyle w:val="FootnoteReference"/>
          <w:rFonts w:ascii="Tahoma" w:hAnsi="Tahoma" w:cs="Tahoma"/>
          <w:sz w:val="24"/>
          <w:szCs w:val="24"/>
        </w:rPr>
        <w:footnoteReference w:id="51"/>
      </w:r>
    </w:p>
    <w:p w:rsidR="005C710A" w:rsidRPr="00636898" w:rsidRDefault="005C710A" w:rsidP="005C710A">
      <w:pPr>
        <w:spacing w:after="0" w:line="240" w:lineRule="auto"/>
        <w:ind w:left="2430"/>
        <w:contextualSpacing/>
        <w:jc w:val="both"/>
        <w:rPr>
          <w:rFonts w:ascii="Tahoma" w:hAnsi="Tahoma" w:cs="Tahoma"/>
          <w:sz w:val="24"/>
          <w:szCs w:val="24"/>
        </w:rPr>
      </w:pPr>
    </w:p>
    <w:p w:rsidR="005C710A" w:rsidRDefault="005C710A" w:rsidP="005C710A">
      <w:pPr>
        <w:pStyle w:val="Heading3"/>
        <w:tabs>
          <w:tab w:val="left" w:pos="2520"/>
        </w:tabs>
      </w:pPr>
      <w:r w:rsidRPr="00636898">
        <w:rPr>
          <w:b/>
        </w:rPr>
        <w:t>Bonded Goods</w:t>
      </w:r>
      <w:r>
        <w:rPr>
          <w:b/>
        </w:rPr>
        <w:t xml:space="preserve"> Not Exported</w:t>
      </w:r>
      <w:r w:rsidRPr="00636898">
        <w:rPr>
          <w:b/>
        </w:rPr>
        <w:t>.</w:t>
      </w:r>
      <w:r>
        <w:t xml:space="preserve"> For bonded goods withdrawn for production but not exported within the prescribed period, the CBW operator shall lodge the appropriate goods declaration for consumption and pay duties, taxes and other charges plus penalties, as may be provided by regulation, within 15 days from the expiration of the storage period.</w:t>
      </w:r>
      <w:r w:rsidRPr="00D272FC">
        <w:rPr>
          <w:rStyle w:val="FootnoteReference"/>
          <w:szCs w:val="23"/>
        </w:rPr>
        <w:footnoteReference w:id="52"/>
      </w:r>
      <w:r>
        <w:t xml:space="preserve"> Bonded goods for which taxes, duties and other charges are paid shall be taken out </w:t>
      </w:r>
      <w:r>
        <w:lastRenderedPageBreak/>
        <w:t>immediately from their bonded areas, such as compartments for raw materials on finished products, after such payments.</w:t>
      </w:r>
      <w:r>
        <w:rPr>
          <w:rStyle w:val="FootnoteReference"/>
        </w:rPr>
        <w:footnoteReference w:id="53"/>
      </w:r>
    </w:p>
    <w:p w:rsidR="005C710A" w:rsidRPr="005247BF" w:rsidRDefault="005C710A" w:rsidP="005247BF">
      <w:pPr>
        <w:pStyle w:val="Heading3"/>
        <w:numPr>
          <w:ilvl w:val="0"/>
          <w:numId w:val="0"/>
        </w:numPr>
        <w:ind w:left="2430"/>
      </w:pPr>
    </w:p>
    <w:p w:rsidR="008A7E17" w:rsidRDefault="00670CEC" w:rsidP="005247BF">
      <w:pPr>
        <w:pStyle w:val="Heading2"/>
      </w:pPr>
      <w:r w:rsidRPr="005247BF">
        <w:rPr>
          <w:b/>
        </w:rPr>
        <w:t>Period of Storage in CBWs.</w:t>
      </w:r>
      <w:r w:rsidR="000247A3" w:rsidRPr="005247BF">
        <w:rPr>
          <w:rStyle w:val="FootnoteReference"/>
        </w:rPr>
        <w:footnoteReference w:id="54"/>
      </w:r>
    </w:p>
    <w:p w:rsidR="008A7E17" w:rsidRDefault="008A7E17" w:rsidP="005247BF">
      <w:pPr>
        <w:pStyle w:val="NoSpacing1"/>
        <w:tabs>
          <w:tab w:val="left" w:pos="1080"/>
        </w:tabs>
        <w:ind w:left="1080"/>
        <w:jc w:val="both"/>
        <w:rPr>
          <w:rFonts w:ascii="Tahoma" w:hAnsi="Tahoma" w:cs="Tahoma"/>
          <w:b/>
          <w:color w:val="000000" w:themeColor="text1"/>
          <w:sz w:val="24"/>
          <w:szCs w:val="24"/>
        </w:rPr>
      </w:pPr>
    </w:p>
    <w:p w:rsidR="008A7E17" w:rsidRDefault="00670CEC" w:rsidP="005247BF">
      <w:pPr>
        <w:pStyle w:val="Heading3"/>
        <w:rPr>
          <w:b/>
        </w:rPr>
      </w:pPr>
      <w:r>
        <w:t>Goods entered for warehousing may remain in a CBW for a maximum period of one (1) year from the time of its arrival</w:t>
      </w:r>
      <w:r w:rsidR="00334C17">
        <w:t xml:space="preserve"> at the warehouse</w:t>
      </w:r>
      <w:r w:rsidR="0025669E">
        <w:t>, without prejudice to the provisions of 5.6.4 of this CAO.</w:t>
      </w:r>
    </w:p>
    <w:p w:rsidR="008A7E17" w:rsidRDefault="008A7E17" w:rsidP="005247BF">
      <w:pPr>
        <w:pStyle w:val="NoSpacing1"/>
        <w:tabs>
          <w:tab w:val="left" w:pos="1080"/>
        </w:tabs>
        <w:ind w:left="1440"/>
        <w:jc w:val="both"/>
        <w:rPr>
          <w:rFonts w:ascii="Tahoma" w:hAnsi="Tahoma" w:cs="Tahoma"/>
          <w:b/>
          <w:color w:val="000000" w:themeColor="text1"/>
          <w:sz w:val="24"/>
          <w:szCs w:val="24"/>
        </w:rPr>
      </w:pPr>
    </w:p>
    <w:p w:rsidR="008A7E17" w:rsidRDefault="00670CEC" w:rsidP="005247BF">
      <w:pPr>
        <w:pStyle w:val="Heading3"/>
        <w:rPr>
          <w:b/>
        </w:rPr>
      </w:pPr>
      <w:r>
        <w:t>For perishable goods, the storage period shall be three (</w:t>
      </w:r>
      <w:r w:rsidR="00334C17">
        <w:t>3</w:t>
      </w:r>
      <w:r>
        <w:t>) months from the date of arrival</w:t>
      </w:r>
      <w:r w:rsidR="00334C17">
        <w:t xml:space="preserve"> at the warehouse</w:t>
      </w:r>
      <w:r>
        <w:t xml:space="preserve">, extendible for valid reasons, and upon written request, for another three (3) months. </w:t>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Heading3"/>
        <w:rPr>
          <w:b/>
        </w:rPr>
      </w:pPr>
      <w:r>
        <w:t xml:space="preserve">Goods not withdrawn after the expiration of the prescribed period shall be deemed abandoned, as provided under </w:t>
      </w:r>
      <w:r w:rsidR="0025669E">
        <w:t xml:space="preserve">paragraph (e), </w:t>
      </w:r>
      <w:r>
        <w:t>Section 1129</w:t>
      </w:r>
      <w:r w:rsidR="0025669E">
        <w:t xml:space="preserve">, Chapter 6, Title XI </w:t>
      </w:r>
      <w:r>
        <w:t xml:space="preserve">of the CMTA. </w:t>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Heading3"/>
        <w:rPr>
          <w:b/>
        </w:rPr>
      </w:pPr>
      <w:r>
        <w:t>The Commissioner shall, in consultation with the Secretary of Trade and Industry, establish a reasonable storage period limit beyond one (1) year for particular bonded goods for manufacturing and intended for export, the processing into finished products of which requires a longer period based on industry standard and practice, subject to the approval of the Secretary of Finance.</w:t>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Heading2"/>
        <w:tabs>
          <w:tab w:val="clear" w:pos="1530"/>
          <w:tab w:val="left" w:pos="1440"/>
        </w:tabs>
        <w:rPr>
          <w:b/>
        </w:rPr>
      </w:pPr>
      <w:r w:rsidRPr="005247BF">
        <w:rPr>
          <w:b/>
        </w:rPr>
        <w:t>Exemption from Duty of Goods in CBWs.</w:t>
      </w:r>
      <w:r w:rsidR="007F5698">
        <w:rPr>
          <w:b/>
        </w:rPr>
        <w:t xml:space="preserve"> </w:t>
      </w:r>
      <w:r>
        <w:t>Goods duly entered for warehousing in CBWs shall be exempt from tax and duty within the allowed period for storage unless withdrawn for consumption, exportation or transit to a free zone or another CBW, in which case, such withdrawal will be subject to the applicable rules and regulations on liquidation of the warehousing entry.</w:t>
      </w:r>
      <w:r w:rsidR="000247A3">
        <w:rPr>
          <w:rStyle w:val="FootnoteReference"/>
        </w:rPr>
        <w:footnoteReference w:id="55"/>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7F5698" w:rsidP="005247BF">
      <w:pPr>
        <w:pStyle w:val="Heading2"/>
      </w:pPr>
      <w:r>
        <w:t xml:space="preserve"> </w:t>
      </w:r>
      <w:r w:rsidR="00523EE5" w:rsidRPr="005247BF">
        <w:rPr>
          <w:b/>
        </w:rPr>
        <w:t xml:space="preserve">Suspension </w:t>
      </w:r>
      <w:r w:rsidR="00523EE5">
        <w:rPr>
          <w:b/>
        </w:rPr>
        <w:t xml:space="preserve">or </w:t>
      </w:r>
      <w:r w:rsidR="00BD620F">
        <w:rPr>
          <w:b/>
        </w:rPr>
        <w:t>Closure</w:t>
      </w:r>
      <w:r w:rsidR="00BD620F" w:rsidRPr="005247BF">
        <w:rPr>
          <w:b/>
        </w:rPr>
        <w:t xml:space="preserve"> </w:t>
      </w:r>
      <w:r w:rsidR="00670CEC" w:rsidRPr="005247BF">
        <w:rPr>
          <w:b/>
        </w:rPr>
        <w:t>of CBW</w:t>
      </w:r>
      <w:r w:rsidRPr="005247BF">
        <w:rPr>
          <w:b/>
          <w:color w:val="auto"/>
        </w:rPr>
        <w:t>.</w:t>
      </w:r>
    </w:p>
    <w:p w:rsidR="008A7E17" w:rsidRDefault="008A7E17" w:rsidP="005247BF">
      <w:pPr>
        <w:pStyle w:val="NoSpacing1"/>
        <w:tabs>
          <w:tab w:val="left" w:pos="1080"/>
        </w:tabs>
        <w:jc w:val="both"/>
        <w:rPr>
          <w:rFonts w:ascii="Tahoma" w:hAnsi="Tahoma" w:cs="Tahoma"/>
          <w:b/>
          <w:color w:val="000000" w:themeColor="text1"/>
          <w:sz w:val="24"/>
          <w:szCs w:val="24"/>
        </w:rPr>
      </w:pPr>
    </w:p>
    <w:p w:rsidR="00BD620F" w:rsidRPr="00A3264D" w:rsidRDefault="00BA67AE" w:rsidP="005247BF">
      <w:pPr>
        <w:pStyle w:val="Heading3"/>
        <w:tabs>
          <w:tab w:val="left" w:pos="2520"/>
        </w:tabs>
      </w:pPr>
      <w:r>
        <w:t xml:space="preserve">The District Collector </w:t>
      </w:r>
      <w:r w:rsidR="00BD620F">
        <w:t>shall</w:t>
      </w:r>
      <w:r w:rsidR="00B5588A">
        <w:t>, without prejudice to the</w:t>
      </w:r>
      <w:r w:rsidR="00E57677">
        <w:t xml:space="preserve"> imposition of administrative penalties</w:t>
      </w:r>
      <w:r w:rsidR="00E57677">
        <w:rPr>
          <w:rStyle w:val="FootnoteReference"/>
        </w:rPr>
        <w:footnoteReference w:id="56"/>
      </w:r>
      <w:r w:rsidR="00E57677">
        <w:t xml:space="preserve"> and</w:t>
      </w:r>
      <w:r w:rsidR="00B5588A">
        <w:t xml:space="preserve"> filing of criminal cases against the responsible</w:t>
      </w:r>
      <w:r w:rsidR="00BD620F">
        <w:t xml:space="preserve"> </w:t>
      </w:r>
      <w:r w:rsidR="00B5588A">
        <w:t xml:space="preserve">person, </w:t>
      </w:r>
      <w:r w:rsidR="00BD620F">
        <w:t>cause</w:t>
      </w:r>
      <w:r>
        <w:t xml:space="preserve"> the</w:t>
      </w:r>
      <w:r w:rsidR="00523EE5">
        <w:t xml:space="preserve"> suspension or</w:t>
      </w:r>
      <w:r>
        <w:t xml:space="preserve"> </w:t>
      </w:r>
      <w:r w:rsidR="00BD620F">
        <w:t>closure</w:t>
      </w:r>
      <w:r>
        <w:t xml:space="preserve"> </w:t>
      </w:r>
      <w:r w:rsidR="00670CEC">
        <w:t xml:space="preserve">of any CBW </w:t>
      </w:r>
      <w:r w:rsidR="00BD620F">
        <w:t>under the following:</w:t>
      </w:r>
    </w:p>
    <w:p w:rsidR="00BD620F" w:rsidRPr="005247BF" w:rsidRDefault="00BD620F" w:rsidP="005247BF">
      <w:pPr>
        <w:pStyle w:val="SubLettering"/>
        <w:numPr>
          <w:ilvl w:val="0"/>
          <w:numId w:val="66"/>
        </w:numPr>
        <w:rPr>
          <w:b/>
        </w:rPr>
      </w:pPr>
      <w:r>
        <w:lastRenderedPageBreak/>
        <w:t>In case of discontinuance requested by the CBW operator or when the conditions warrant pursuant to Section 807, Chapter 2, Title VIII of the CMTA;</w:t>
      </w:r>
    </w:p>
    <w:p w:rsidR="005C1763" w:rsidRDefault="005C1763" w:rsidP="005247BF">
      <w:pPr>
        <w:pStyle w:val="SubLettering"/>
        <w:numPr>
          <w:ilvl w:val="0"/>
          <w:numId w:val="66"/>
        </w:numPr>
      </w:pPr>
      <w:r w:rsidRPr="00D272FC">
        <w:t xml:space="preserve">Filing an application </w:t>
      </w:r>
      <w:r>
        <w:t>containing false information for establishment or renewal of CBW authority to operate;</w:t>
      </w:r>
    </w:p>
    <w:p w:rsidR="008E26AA" w:rsidRPr="005247BF" w:rsidRDefault="00BD620F" w:rsidP="005247BF">
      <w:pPr>
        <w:pStyle w:val="SubLettering"/>
        <w:numPr>
          <w:ilvl w:val="0"/>
          <w:numId w:val="66"/>
        </w:numPr>
      </w:pPr>
      <w:r w:rsidRPr="005247BF">
        <w:t>Failure to file application for ren</w:t>
      </w:r>
      <w:r w:rsidR="008E26AA" w:rsidRPr="00A3264D">
        <w:t>ewal;</w:t>
      </w:r>
    </w:p>
    <w:p w:rsidR="005C1763" w:rsidRPr="00D272FC" w:rsidRDefault="005C1763" w:rsidP="005C1763">
      <w:pPr>
        <w:pStyle w:val="SubLettering"/>
        <w:numPr>
          <w:ilvl w:val="0"/>
          <w:numId w:val="66"/>
        </w:numPr>
      </w:pPr>
      <w:r w:rsidRPr="00D272FC">
        <w:t>Being inactive for a continuous period of at least one (1) year, i.e. no importation, or if there is one, no corresponding legal withdrawal of imported goods or exportation of finished products;</w:t>
      </w:r>
      <w:r>
        <w:t xml:space="preserve"> </w:t>
      </w:r>
    </w:p>
    <w:p w:rsidR="00150964" w:rsidRDefault="00B5588A" w:rsidP="005C1763">
      <w:pPr>
        <w:pStyle w:val="SubLettering"/>
        <w:numPr>
          <w:ilvl w:val="0"/>
          <w:numId w:val="66"/>
        </w:numPr>
      </w:pPr>
      <w:r>
        <w:t>When the operator or any responsible official thereof shall knowingly allow the use of the warehouse for illegal activities;</w:t>
      </w:r>
    </w:p>
    <w:p w:rsidR="00B5588A" w:rsidRDefault="00150964" w:rsidP="005C1763">
      <w:pPr>
        <w:pStyle w:val="SubLettering"/>
        <w:numPr>
          <w:ilvl w:val="0"/>
          <w:numId w:val="66"/>
        </w:numPr>
      </w:pPr>
      <w:r>
        <w:t xml:space="preserve">Unauthorized relocation or use of extension warehouse; </w:t>
      </w:r>
      <w:r w:rsidR="00B5588A">
        <w:t>and,</w:t>
      </w:r>
    </w:p>
    <w:p w:rsidR="005C1763" w:rsidRDefault="005C1763" w:rsidP="005C1763">
      <w:pPr>
        <w:pStyle w:val="SubLettering"/>
        <w:numPr>
          <w:ilvl w:val="0"/>
          <w:numId w:val="66"/>
        </w:numPr>
      </w:pPr>
      <w:r>
        <w:t>Violation of customs rules and regulations.</w:t>
      </w:r>
      <w:r w:rsidR="00B5588A">
        <w:rPr>
          <w:rStyle w:val="FootnoteReference"/>
        </w:rPr>
        <w:footnoteReference w:id="57"/>
      </w:r>
    </w:p>
    <w:p w:rsidR="00523EE5" w:rsidRDefault="00F74C43" w:rsidP="005247BF">
      <w:pPr>
        <w:pStyle w:val="Heading3"/>
        <w:tabs>
          <w:tab w:val="left" w:pos="2520"/>
        </w:tabs>
      </w:pPr>
      <w:r w:rsidRPr="005247BF">
        <w:t>Except when the closure is made upon the request of the CBW operator</w:t>
      </w:r>
      <w:r>
        <w:t>, there must be a closure proceeding to be conducted by the District Collector</w:t>
      </w:r>
      <w:r w:rsidR="00523EE5">
        <w:t xml:space="preserve"> where due process must be observed.</w:t>
      </w:r>
    </w:p>
    <w:p w:rsidR="00150964" w:rsidRPr="005247BF" w:rsidRDefault="00150964" w:rsidP="005247BF">
      <w:pPr>
        <w:pStyle w:val="Heading3"/>
        <w:numPr>
          <w:ilvl w:val="0"/>
          <w:numId w:val="0"/>
        </w:numPr>
        <w:tabs>
          <w:tab w:val="left" w:pos="2520"/>
        </w:tabs>
        <w:ind w:left="2430"/>
        <w:rPr>
          <w:b/>
        </w:rPr>
      </w:pPr>
    </w:p>
    <w:p w:rsidR="00523EE5" w:rsidRPr="005247BF" w:rsidRDefault="00BA67AE" w:rsidP="005247BF">
      <w:pPr>
        <w:pStyle w:val="Heading3"/>
        <w:tabs>
          <w:tab w:val="left" w:pos="2520"/>
        </w:tabs>
        <w:rPr>
          <w:b/>
        </w:rPr>
      </w:pPr>
      <w:r>
        <w:t xml:space="preserve">Upon the </w:t>
      </w:r>
      <w:r w:rsidR="005C1763">
        <w:t>closure</w:t>
      </w:r>
      <w:r>
        <w:t xml:space="preserve"> of the CBW,</w:t>
      </w:r>
      <w:r w:rsidR="00523EE5" w:rsidRPr="00523EE5">
        <w:t xml:space="preserve"> </w:t>
      </w:r>
      <w:r w:rsidR="00523EE5">
        <w:t xml:space="preserve">a careful examination of the account of the warehouse shall be made and </w:t>
      </w:r>
      <w:r w:rsidR="00670CEC">
        <w:t>dutiable goods stored in such premises</w:t>
      </w:r>
      <w:r>
        <w:t xml:space="preserve"> </w:t>
      </w:r>
      <w:r w:rsidR="00670CEC">
        <w:t>must be removed at the risk and expense of the operator</w:t>
      </w:r>
      <w:r w:rsidR="00C17360">
        <w:t>.</w:t>
      </w:r>
    </w:p>
    <w:p w:rsidR="008A7E17" w:rsidRPr="00523EE5" w:rsidRDefault="008A7E17" w:rsidP="005247BF">
      <w:pPr>
        <w:pStyle w:val="Heading3"/>
        <w:numPr>
          <w:ilvl w:val="0"/>
          <w:numId w:val="0"/>
        </w:numPr>
        <w:tabs>
          <w:tab w:val="left" w:pos="2520"/>
        </w:tabs>
        <w:ind w:left="2430"/>
      </w:pPr>
    </w:p>
    <w:p w:rsidR="00523EE5" w:rsidRDefault="00523EE5" w:rsidP="00523EE5">
      <w:pPr>
        <w:pStyle w:val="Heading3"/>
        <w:tabs>
          <w:tab w:val="left" w:pos="2520"/>
        </w:tabs>
      </w:pPr>
      <w:r>
        <w:t xml:space="preserve">Closure </w:t>
      </w:r>
      <w:r w:rsidR="00670CEC">
        <w:t>of the CBW shall be effective upon approval thereof by the District Collector, who shall within ten (10) days, inform the Commissioner of such action in writing.</w:t>
      </w:r>
      <w:r w:rsidRPr="00523EE5">
        <w:t xml:space="preserve"> </w:t>
      </w:r>
      <w:r>
        <w:t>The decision ordering the closure of a CBW may be appealed to the Commissioner.</w:t>
      </w:r>
    </w:p>
    <w:p w:rsidR="008A7E17" w:rsidRDefault="008A7E17" w:rsidP="005247BF">
      <w:pPr>
        <w:pStyle w:val="Heading3"/>
        <w:numPr>
          <w:ilvl w:val="0"/>
          <w:numId w:val="0"/>
        </w:numPr>
        <w:tabs>
          <w:tab w:val="left" w:pos="2520"/>
        </w:tabs>
        <w:ind w:left="2430"/>
      </w:pPr>
    </w:p>
    <w:p w:rsidR="008A7E17" w:rsidRDefault="00670CEC" w:rsidP="005247BF">
      <w:pPr>
        <w:pStyle w:val="Heading3"/>
        <w:tabs>
          <w:tab w:val="left" w:pos="2520"/>
        </w:tabs>
      </w:pPr>
      <w:r>
        <w:t>Notice of discontinuance made by the operator shall not result in the discharge from any duties, taxes, fees and other charges imposed on dutiable goods in said warehouse.</w:t>
      </w:r>
      <w:r w:rsidR="00A96396">
        <w:rPr>
          <w:rStyle w:val="FootnoteReference"/>
        </w:rPr>
        <w:footnoteReference w:id="58"/>
      </w:r>
    </w:p>
    <w:p w:rsidR="001506E1" w:rsidRDefault="001506E1" w:rsidP="005247BF">
      <w:pPr>
        <w:pStyle w:val="Heading2"/>
        <w:numPr>
          <w:ilvl w:val="0"/>
          <w:numId w:val="0"/>
        </w:numPr>
        <w:ind w:left="1620"/>
      </w:pPr>
    </w:p>
    <w:p w:rsidR="006E2DBD" w:rsidRPr="005247BF" w:rsidRDefault="006E2DBD" w:rsidP="005247BF"/>
    <w:p w:rsidR="001506E1" w:rsidRDefault="001506E1" w:rsidP="005247BF">
      <w:pPr>
        <w:pStyle w:val="Heading2"/>
      </w:pPr>
      <w:r w:rsidRPr="005247BF">
        <w:rPr>
          <w:b/>
          <w:u w:val="single"/>
        </w:rPr>
        <w:lastRenderedPageBreak/>
        <w:t>Penalties</w:t>
      </w:r>
      <w:r w:rsidRPr="00D272FC">
        <w:t>.</w:t>
      </w:r>
      <w:r w:rsidRPr="00D272FC">
        <w:rPr>
          <w:rStyle w:val="FootnoteReference"/>
        </w:rPr>
        <w:footnoteReference w:id="59"/>
      </w:r>
    </w:p>
    <w:p w:rsidR="001506E1" w:rsidRDefault="001506E1" w:rsidP="001506E1">
      <w:pPr>
        <w:pStyle w:val="NoSpacing1"/>
        <w:tabs>
          <w:tab w:val="left" w:pos="1080"/>
        </w:tabs>
        <w:jc w:val="both"/>
        <w:rPr>
          <w:rFonts w:ascii="Tahoma" w:hAnsi="Tahoma" w:cs="Tahoma"/>
          <w:b/>
          <w:color w:val="000000" w:themeColor="text1"/>
          <w:sz w:val="24"/>
          <w:szCs w:val="24"/>
        </w:rPr>
      </w:pPr>
    </w:p>
    <w:p w:rsidR="001506E1" w:rsidRDefault="001506E1" w:rsidP="005247BF">
      <w:pPr>
        <w:pStyle w:val="Heading3"/>
        <w:tabs>
          <w:tab w:val="left" w:pos="2520"/>
        </w:tabs>
      </w:pPr>
      <w:r>
        <w:t xml:space="preserve">Without prejudice to the criminal liability provided under the CMTA, the following administrative sanctions shall be imposed for </w:t>
      </w:r>
      <w:r w:rsidR="00A3264D">
        <w:t xml:space="preserve">diversion or </w:t>
      </w:r>
      <w:r>
        <w:t>unauthorized withdrawal:</w:t>
      </w:r>
    </w:p>
    <w:p w:rsidR="001506E1" w:rsidRPr="00C17360" w:rsidRDefault="001506E1" w:rsidP="001506E1">
      <w:pPr>
        <w:spacing w:after="0"/>
        <w:jc w:val="both"/>
      </w:pPr>
    </w:p>
    <w:p w:rsidR="001506E1" w:rsidRDefault="001506E1" w:rsidP="001506E1">
      <w:pPr>
        <w:pStyle w:val="SubLettering"/>
        <w:numPr>
          <w:ilvl w:val="0"/>
          <w:numId w:val="53"/>
        </w:numPr>
        <w:spacing w:after="0"/>
      </w:pPr>
      <w:r>
        <w:t>Suspension of warehousing privileges for six (6) months for the offense; and,</w:t>
      </w:r>
    </w:p>
    <w:p w:rsidR="001506E1" w:rsidRPr="005247BF" w:rsidRDefault="001506E1" w:rsidP="001506E1">
      <w:pPr>
        <w:spacing w:after="0"/>
        <w:rPr>
          <w:rFonts w:ascii="Tahoma" w:hAnsi="Tahoma" w:cs="Tahoma"/>
        </w:rPr>
      </w:pPr>
    </w:p>
    <w:p w:rsidR="001506E1" w:rsidRPr="00C17360" w:rsidRDefault="001506E1" w:rsidP="005247BF">
      <w:pPr>
        <w:pStyle w:val="SubLettering"/>
        <w:numPr>
          <w:ilvl w:val="0"/>
          <w:numId w:val="53"/>
        </w:numPr>
        <w:spacing w:after="0"/>
      </w:pPr>
      <w:r>
        <w:t>Closure, for the second offense.</w:t>
      </w:r>
    </w:p>
    <w:p w:rsidR="001506E1" w:rsidRPr="00C17360" w:rsidRDefault="001506E1" w:rsidP="001506E1">
      <w:pPr>
        <w:spacing w:after="0" w:line="240" w:lineRule="auto"/>
        <w:contextualSpacing/>
      </w:pPr>
    </w:p>
    <w:p w:rsidR="001506E1" w:rsidRDefault="001506E1" w:rsidP="005247BF">
      <w:pPr>
        <w:pStyle w:val="Heading3"/>
        <w:tabs>
          <w:tab w:val="left" w:pos="2520"/>
        </w:tabs>
      </w:pPr>
      <w:r>
        <w:t>Penalties for late filing of renewal of license to operate a CBW shall be collected as follows:</w:t>
      </w:r>
      <w:r>
        <w:rPr>
          <w:rStyle w:val="FootnoteReference"/>
        </w:rPr>
        <w:footnoteReference w:id="60"/>
      </w:r>
    </w:p>
    <w:p w:rsidR="001506E1" w:rsidRPr="00C17360" w:rsidRDefault="001506E1" w:rsidP="001506E1">
      <w:pPr>
        <w:spacing w:after="0"/>
      </w:pPr>
    </w:p>
    <w:p w:rsidR="001506E1" w:rsidRDefault="001506E1" w:rsidP="001506E1">
      <w:pPr>
        <w:pStyle w:val="SubLettering"/>
        <w:numPr>
          <w:ilvl w:val="0"/>
          <w:numId w:val="52"/>
        </w:numPr>
      </w:pPr>
      <w:r>
        <w:t>1-15 days</w:t>
      </w:r>
      <w:r>
        <w:tab/>
      </w:r>
      <w:r>
        <w:tab/>
      </w:r>
      <w:r>
        <w:tab/>
      </w:r>
      <w:proofErr w:type="spellStart"/>
      <w:r>
        <w:t>Php</w:t>
      </w:r>
      <w:proofErr w:type="spellEnd"/>
      <w:r>
        <w:t xml:space="preserve"> 5,000.00</w:t>
      </w:r>
    </w:p>
    <w:p w:rsidR="001506E1" w:rsidRDefault="001506E1" w:rsidP="001506E1">
      <w:pPr>
        <w:pStyle w:val="SubLettering"/>
        <w:numPr>
          <w:ilvl w:val="0"/>
          <w:numId w:val="52"/>
        </w:numPr>
      </w:pPr>
      <w:r>
        <w:t>16-30 days</w:t>
      </w:r>
      <w:r>
        <w:tab/>
      </w:r>
      <w:r>
        <w:tab/>
      </w:r>
      <w:proofErr w:type="spellStart"/>
      <w:r>
        <w:t>Php</w:t>
      </w:r>
      <w:proofErr w:type="spellEnd"/>
      <w:r>
        <w:t xml:space="preserve"> 10,000.00</w:t>
      </w:r>
    </w:p>
    <w:p w:rsidR="001506E1" w:rsidRDefault="001506E1" w:rsidP="001506E1">
      <w:pPr>
        <w:pStyle w:val="SubLettering"/>
        <w:numPr>
          <w:ilvl w:val="0"/>
          <w:numId w:val="52"/>
        </w:numPr>
      </w:pPr>
      <w:r>
        <w:t>31 days and above</w:t>
      </w:r>
      <w:r>
        <w:tab/>
        <w:t>Closure</w:t>
      </w:r>
    </w:p>
    <w:p w:rsidR="00A3264D" w:rsidRPr="005247BF" w:rsidRDefault="00A3264D" w:rsidP="005247BF">
      <w:pPr>
        <w:pStyle w:val="Heading3"/>
        <w:tabs>
          <w:tab w:val="left" w:pos="2520"/>
        </w:tabs>
      </w:pPr>
      <w:r>
        <w:t>Without prejudice to other actions that the Bureau may file against the importer and/or surely company for breach of bond or take action on the importation pursuant to the CMTA, the provisions on existing regulations on fines, penalties, or surcharges shall be applied on erring importers or warehouse operators.</w:t>
      </w:r>
    </w:p>
    <w:p w:rsidR="008A7E17" w:rsidRPr="00A3264D" w:rsidRDefault="00670CEC" w:rsidP="005247BF">
      <w:pPr>
        <w:pStyle w:val="Heading1"/>
      </w:pPr>
      <w:r w:rsidRPr="005247BF">
        <w:rPr>
          <w:u w:val="single"/>
        </w:rPr>
        <w:t>Customs Facilities and Warehouses</w:t>
      </w:r>
      <w:r w:rsidR="00A62B30" w:rsidRPr="00A3264D">
        <w:t>.</w:t>
      </w:r>
      <w:r w:rsidR="00C04217" w:rsidRPr="005247BF">
        <w:rPr>
          <w:rStyle w:val="FootnoteReference"/>
          <w:b w:val="0"/>
        </w:rPr>
        <w:footnoteReference w:id="61"/>
      </w:r>
      <w:r w:rsidR="00A62B30" w:rsidRPr="00A3264D">
        <w:t xml:space="preserve"> </w:t>
      </w:r>
    </w:p>
    <w:p w:rsidR="008A7E17" w:rsidRDefault="008A7E17" w:rsidP="005247BF">
      <w:pPr>
        <w:pStyle w:val="NoSpacing1"/>
        <w:tabs>
          <w:tab w:val="left" w:pos="1080"/>
        </w:tabs>
        <w:jc w:val="both"/>
        <w:rPr>
          <w:rFonts w:ascii="Tahoma" w:hAnsi="Tahoma" w:cs="Tahoma"/>
          <w:b/>
          <w:color w:val="000000" w:themeColor="text1"/>
          <w:sz w:val="24"/>
          <w:szCs w:val="24"/>
        </w:rPr>
      </w:pPr>
    </w:p>
    <w:p w:rsidR="008A7E17" w:rsidRDefault="00670CEC" w:rsidP="005247BF">
      <w:pPr>
        <w:pStyle w:val="Heading2"/>
      </w:pPr>
      <w:r>
        <w:rPr>
          <w:b/>
        </w:rPr>
        <w:t>Creation/Establishment</w:t>
      </w:r>
      <w:r w:rsidRPr="005247BF">
        <w:rPr>
          <w:b/>
        </w:rPr>
        <w:t>.</w:t>
      </w:r>
      <w:r>
        <w:t xml:space="preserve"> All applications for the establishment of a CFW shall be filed with the District Collector where the CFW is located, describing the premises, location, capacity and purpose thereof.</w:t>
      </w:r>
    </w:p>
    <w:p w:rsidR="008A7E17" w:rsidRDefault="008A7E17" w:rsidP="005247BF">
      <w:pPr>
        <w:pStyle w:val="ListParagraph1"/>
        <w:tabs>
          <w:tab w:val="left" w:pos="1080"/>
          <w:tab w:val="left" w:pos="1760"/>
        </w:tabs>
        <w:spacing w:after="0" w:line="240" w:lineRule="auto"/>
        <w:ind w:leftChars="600" w:left="1335" w:hanging="15"/>
        <w:jc w:val="both"/>
        <w:rPr>
          <w:rFonts w:ascii="Tahoma" w:hAnsi="Tahoma" w:cs="Tahoma"/>
          <w:sz w:val="24"/>
          <w:szCs w:val="24"/>
        </w:rPr>
      </w:pPr>
    </w:p>
    <w:p w:rsidR="008A7E17" w:rsidRDefault="00670CEC" w:rsidP="005247BF">
      <w:pPr>
        <w:pStyle w:val="Heading2"/>
      </w:pPr>
      <w:r>
        <w:rPr>
          <w:b/>
        </w:rPr>
        <w:t>Documentary Requirements</w:t>
      </w:r>
      <w:r w:rsidRPr="005247BF">
        <w:rPr>
          <w:b/>
        </w:rPr>
        <w:t>.</w:t>
      </w:r>
      <w:r>
        <w:t xml:space="preserve"> Any person or firm desiring to establish and operate a CFW shall submit the following documents:</w:t>
      </w:r>
    </w:p>
    <w:p w:rsidR="008A7E17" w:rsidRDefault="008A7E17" w:rsidP="005247BF">
      <w:pPr>
        <w:pStyle w:val="ListParagraph1"/>
        <w:tabs>
          <w:tab w:val="left" w:pos="1080"/>
        </w:tabs>
        <w:spacing w:after="0" w:line="240" w:lineRule="auto"/>
        <w:ind w:left="2520"/>
        <w:jc w:val="both"/>
        <w:rPr>
          <w:rFonts w:ascii="Tahoma" w:hAnsi="Tahoma" w:cs="Tahoma"/>
          <w:sz w:val="24"/>
          <w:szCs w:val="24"/>
        </w:rPr>
      </w:pPr>
    </w:p>
    <w:p w:rsidR="008A7E17" w:rsidRDefault="00670CEC" w:rsidP="005247BF">
      <w:pPr>
        <w:pStyle w:val="Heading3"/>
        <w:spacing w:after="240"/>
      </w:pPr>
      <w:r>
        <w:t>SEC Articles of Incorporation, DTI Certificate of Business Registration, BIR Certificate of Registration and Mayor’s Permit (if not yet filed under the Client Profile Registration System-CPRS);</w:t>
      </w:r>
    </w:p>
    <w:p w:rsidR="008A7E17" w:rsidRDefault="00670CEC" w:rsidP="005247BF">
      <w:pPr>
        <w:pStyle w:val="Heading3"/>
        <w:spacing w:after="240"/>
      </w:pPr>
      <w:r>
        <w:lastRenderedPageBreak/>
        <w:t>Location and layout of facility, including machineries, equipment and x-ray facility as applicable (including lease contract or title to the property);</w:t>
      </w:r>
    </w:p>
    <w:p w:rsidR="008A7E17" w:rsidRDefault="00670CEC" w:rsidP="005247BF">
      <w:pPr>
        <w:pStyle w:val="Heading3"/>
        <w:spacing w:after="240"/>
      </w:pPr>
      <w:r>
        <w:t>Audited Financial Statements for the last two (2) years immediately preceding the date of application;</w:t>
      </w:r>
    </w:p>
    <w:p w:rsidR="008A7E17" w:rsidRDefault="00670CEC" w:rsidP="005247BF">
      <w:pPr>
        <w:pStyle w:val="Heading3"/>
        <w:spacing w:after="240"/>
      </w:pPr>
      <w:r>
        <w:t>Web-based inventory management system;</w:t>
      </w:r>
      <w:r w:rsidR="001B3173">
        <w:t xml:space="preserve"> and,</w:t>
      </w:r>
    </w:p>
    <w:p w:rsidR="008A7E17" w:rsidRPr="005247BF" w:rsidRDefault="00670CEC" w:rsidP="005247BF">
      <w:pPr>
        <w:pStyle w:val="Heading3"/>
        <w:spacing w:after="240"/>
        <w:rPr>
          <w:b/>
        </w:rPr>
      </w:pPr>
      <w:r>
        <w:t>Customs facility for use of customs complement (or proposed facility)</w:t>
      </w:r>
      <w:r w:rsidR="001B3173">
        <w:t>.</w:t>
      </w:r>
    </w:p>
    <w:p w:rsidR="008A7E17" w:rsidRDefault="00670CEC" w:rsidP="005247BF">
      <w:pPr>
        <w:pStyle w:val="Heading2"/>
      </w:pPr>
      <w:r>
        <w:rPr>
          <w:b/>
        </w:rPr>
        <w:t>Security Requirements.</w:t>
      </w:r>
      <w:r>
        <w:t xml:space="preserve">  An applicant must likewise have written and verifiable procedures on the following:</w:t>
      </w:r>
      <w:r w:rsidR="00D523B0">
        <w:rPr>
          <w:rStyle w:val="FootnoteReference"/>
        </w:rPr>
        <w:footnoteReference w:id="62"/>
      </w:r>
    </w:p>
    <w:p w:rsidR="008A7E17" w:rsidRDefault="008A7E17" w:rsidP="005247BF">
      <w:pPr>
        <w:tabs>
          <w:tab w:val="left" w:pos="1080"/>
        </w:tabs>
        <w:spacing w:after="0" w:line="240" w:lineRule="auto"/>
        <w:jc w:val="both"/>
        <w:rPr>
          <w:rFonts w:ascii="Tahoma" w:hAnsi="Tahoma" w:cs="Tahoma"/>
          <w:sz w:val="24"/>
          <w:szCs w:val="24"/>
        </w:rPr>
      </w:pPr>
    </w:p>
    <w:p w:rsidR="008A7E17" w:rsidRDefault="00670CEC" w:rsidP="005247BF">
      <w:pPr>
        <w:pStyle w:val="Heading3"/>
        <w:spacing w:after="240"/>
      </w:pPr>
      <w:r>
        <w:t>Security procedures for service providers and vendors;</w:t>
      </w:r>
    </w:p>
    <w:p w:rsidR="008A7E17" w:rsidRDefault="00670CEC" w:rsidP="005247BF">
      <w:pPr>
        <w:pStyle w:val="Heading3"/>
        <w:spacing w:after="240"/>
      </w:pPr>
      <w:r>
        <w:t>Container security integrity and breach detection measures (e.g. container storage and seals)</w:t>
      </w:r>
      <w:r w:rsidR="00973E28">
        <w:t>;</w:t>
      </w:r>
    </w:p>
    <w:p w:rsidR="008A7E17" w:rsidRDefault="00670CEC" w:rsidP="005247BF">
      <w:pPr>
        <w:pStyle w:val="Heading3"/>
        <w:spacing w:after="240"/>
      </w:pPr>
      <w:r>
        <w:t>Physical access controls (e.g. security personnel, employee ID system, searches, visitors/vendor verification);</w:t>
      </w:r>
    </w:p>
    <w:p w:rsidR="008A7E17" w:rsidRDefault="00670CEC" w:rsidP="005247BF">
      <w:pPr>
        <w:pStyle w:val="Heading3"/>
        <w:spacing w:after="240"/>
      </w:pPr>
      <w:r>
        <w:t>Personnel security (e.g. pre-employment verification, background checks)</w:t>
      </w:r>
      <w:r w:rsidR="00973E28">
        <w:t>;</w:t>
      </w:r>
    </w:p>
    <w:p w:rsidR="008A7E17" w:rsidRDefault="00670CEC" w:rsidP="005247BF">
      <w:pPr>
        <w:pStyle w:val="Heading3"/>
        <w:spacing w:after="240"/>
      </w:pPr>
      <w:r>
        <w:t>Procedural security (e.g. cargo control, shipping and receiving, container opening and release)</w:t>
      </w:r>
      <w:r w:rsidR="00973E28">
        <w:t>;</w:t>
      </w:r>
    </w:p>
    <w:p w:rsidR="008A7E17" w:rsidRDefault="00670CEC" w:rsidP="005247BF">
      <w:pPr>
        <w:pStyle w:val="Heading3"/>
        <w:spacing w:after="240"/>
      </w:pPr>
      <w:r>
        <w:t>Security Training and Awareness</w:t>
      </w:r>
      <w:r w:rsidR="00973E28">
        <w:t>;</w:t>
      </w:r>
    </w:p>
    <w:p w:rsidR="008A7E17" w:rsidRDefault="00670CEC" w:rsidP="005247BF">
      <w:pPr>
        <w:pStyle w:val="Heading3"/>
        <w:spacing w:after="240"/>
      </w:pPr>
      <w:r>
        <w:t>Physical Security (e.g. fences, gates, parking, building structures, locks and keys, lighting, alarm systems and video surveillance cameras)</w:t>
      </w:r>
      <w:r w:rsidR="00973E28">
        <w:t>; and,</w:t>
      </w:r>
    </w:p>
    <w:p w:rsidR="008A7E17" w:rsidRPr="004C073B" w:rsidRDefault="00670CEC" w:rsidP="005247BF">
      <w:pPr>
        <w:pStyle w:val="Heading3"/>
        <w:spacing w:after="240"/>
      </w:pPr>
      <w:r>
        <w:t>IT Security (e.g. password, accountability)</w:t>
      </w:r>
    </w:p>
    <w:p w:rsidR="008A7E17" w:rsidRDefault="00670CEC" w:rsidP="005247BF">
      <w:pPr>
        <w:pStyle w:val="Heading2"/>
        <w:rPr>
          <w:b/>
        </w:rPr>
      </w:pPr>
      <w:r>
        <w:rPr>
          <w:b/>
        </w:rPr>
        <w:t>Examination of the Premises.</w:t>
      </w:r>
      <w:r>
        <w:t xml:space="preserve"> Upon receipt of such application, the District Collector shall examine the premises of such proposed warehouse, particularly its location, construction and storage facilities. The District Collector, with the approval of the Commissioner, may authorize the establishment of CFWs, and accept the required security for its operation and maintenance.</w:t>
      </w:r>
    </w:p>
    <w:p w:rsidR="008A7E17" w:rsidRDefault="008A7E17" w:rsidP="005247BF">
      <w:pPr>
        <w:pStyle w:val="ListParagraph1"/>
        <w:tabs>
          <w:tab w:val="left" w:pos="1080"/>
        </w:tabs>
        <w:spacing w:after="0" w:line="240" w:lineRule="auto"/>
        <w:ind w:left="1033"/>
        <w:jc w:val="both"/>
        <w:rPr>
          <w:rFonts w:ascii="Tahoma" w:hAnsi="Tahoma" w:cs="Tahoma"/>
          <w:sz w:val="24"/>
          <w:szCs w:val="24"/>
        </w:rPr>
      </w:pPr>
    </w:p>
    <w:p w:rsidR="008A7E17" w:rsidRDefault="00670CEC" w:rsidP="005247BF">
      <w:pPr>
        <w:pStyle w:val="Heading2"/>
      </w:pPr>
      <w:r>
        <w:rPr>
          <w:b/>
        </w:rPr>
        <w:lastRenderedPageBreak/>
        <w:t>Procedures</w:t>
      </w:r>
      <w:r w:rsidRPr="005247BF">
        <w:rPr>
          <w:b/>
        </w:rPr>
        <w:t>.</w:t>
      </w:r>
      <w:r>
        <w:t xml:space="preserve"> A Customs Memorandum Order</w:t>
      </w:r>
      <w:r w:rsidR="00D97867">
        <w:t xml:space="preserve"> (CMO)</w:t>
      </w:r>
      <w:r>
        <w:t xml:space="preserve"> shall be issued to outline the procedure in the issuance of an authority to operate a CFW. The CMO shall provide adequate measures to ensure continued compliance with the Bureau’s requirements pertaining to the security and suitability of the CFW, including stock-keeping, accounting of the goods, and monitoring by specific/proper offices.  </w:t>
      </w:r>
    </w:p>
    <w:p w:rsidR="008A7E17" w:rsidRDefault="008A7E17" w:rsidP="005247BF">
      <w:pPr>
        <w:tabs>
          <w:tab w:val="left" w:pos="1080"/>
        </w:tabs>
        <w:spacing w:after="0" w:line="240" w:lineRule="auto"/>
        <w:ind w:left="1170" w:hanging="450"/>
        <w:jc w:val="both"/>
        <w:rPr>
          <w:rFonts w:ascii="Tahoma" w:hAnsi="Tahoma" w:cs="Tahoma"/>
          <w:sz w:val="24"/>
          <w:szCs w:val="24"/>
        </w:rPr>
      </w:pPr>
    </w:p>
    <w:p w:rsidR="004B1491" w:rsidRPr="005247BF" w:rsidRDefault="00670CEC" w:rsidP="005247BF">
      <w:pPr>
        <w:pStyle w:val="Heading2"/>
      </w:pPr>
      <w:r w:rsidRPr="005247BF">
        <w:rPr>
          <w:b/>
        </w:rPr>
        <w:t>Application for Establishment of Additional Facilities.</w:t>
      </w:r>
      <w:r w:rsidR="004B1491" w:rsidRPr="005247BF">
        <w:rPr>
          <w:rStyle w:val="FootnoteReference"/>
        </w:rPr>
        <w:footnoteReference w:id="63"/>
      </w:r>
      <w:r>
        <w:t xml:space="preserve"> </w:t>
      </w:r>
    </w:p>
    <w:p w:rsidR="008A7E17" w:rsidRDefault="008A7E17" w:rsidP="005247BF">
      <w:pPr>
        <w:pStyle w:val="Heading2"/>
        <w:numPr>
          <w:ilvl w:val="0"/>
          <w:numId w:val="0"/>
        </w:numPr>
        <w:ind w:left="1620"/>
      </w:pPr>
    </w:p>
    <w:p w:rsidR="008A7E17" w:rsidRDefault="00670CEC" w:rsidP="005247BF">
      <w:pPr>
        <w:pStyle w:val="Heading3"/>
      </w:pPr>
      <w:r>
        <w:t>Application for establishment of additional facilities shall be filed with the District Collector who has jurisdiction over the main facilities.</w:t>
      </w:r>
    </w:p>
    <w:p w:rsidR="008A7E17" w:rsidRDefault="008A7E17" w:rsidP="005247BF">
      <w:pPr>
        <w:pStyle w:val="Heading3"/>
        <w:numPr>
          <w:ilvl w:val="0"/>
          <w:numId w:val="0"/>
        </w:numPr>
        <w:ind w:left="2430"/>
      </w:pPr>
    </w:p>
    <w:p w:rsidR="007F5698" w:rsidRPr="00A3264D" w:rsidRDefault="00670CEC" w:rsidP="005247BF">
      <w:pPr>
        <w:pStyle w:val="Heading3"/>
      </w:pPr>
      <w:r>
        <w:t xml:space="preserve">Where the proposed extension facility is located in a place outside the </w:t>
      </w:r>
      <w:r w:rsidRPr="004C073B">
        <w:t xml:space="preserve">jurisdiction </w:t>
      </w:r>
      <w:r>
        <w:t>of the District Collector where the main warehouse or facility is situated, such shall be treated as a new application. Accordingly:</w:t>
      </w:r>
    </w:p>
    <w:p w:rsidR="00C17360" w:rsidRDefault="00670CEC" w:rsidP="005247BF">
      <w:pPr>
        <w:pStyle w:val="SubLettering"/>
        <w:numPr>
          <w:ilvl w:val="0"/>
          <w:numId w:val="49"/>
        </w:numPr>
        <w:spacing w:before="240" w:after="0" w:line="240" w:lineRule="auto"/>
        <w:contextualSpacing/>
      </w:pPr>
      <w:r>
        <w:t>Rules for the establishment of a new CFW shall apply; and</w:t>
      </w:r>
      <w:r w:rsidR="00E157E7">
        <w:t>,</w:t>
      </w:r>
    </w:p>
    <w:p w:rsidR="008A7E17" w:rsidRDefault="008A7E17" w:rsidP="005247BF">
      <w:pPr>
        <w:pStyle w:val="SubLettering"/>
        <w:numPr>
          <w:ilvl w:val="0"/>
          <w:numId w:val="0"/>
        </w:numPr>
        <w:spacing w:before="240" w:after="0" w:line="240" w:lineRule="auto"/>
        <w:ind w:left="3149"/>
        <w:contextualSpacing/>
      </w:pPr>
    </w:p>
    <w:p w:rsidR="008A7E17" w:rsidRDefault="00670CEC" w:rsidP="005247BF">
      <w:pPr>
        <w:pStyle w:val="SubLettering"/>
        <w:numPr>
          <w:ilvl w:val="0"/>
          <w:numId w:val="49"/>
        </w:numPr>
        <w:spacing w:before="240" w:after="0" w:line="240" w:lineRule="auto"/>
        <w:contextualSpacing/>
      </w:pPr>
      <w:r>
        <w:t xml:space="preserve">Supervisory functions and </w:t>
      </w:r>
      <w:proofErr w:type="spellStart"/>
      <w:r>
        <w:t>visitorial</w:t>
      </w:r>
      <w:proofErr w:type="spellEnd"/>
      <w:r>
        <w:t xml:space="preserve"> power can only be exercised by the District Collector who has jurisdiction over the location.</w:t>
      </w:r>
    </w:p>
    <w:p w:rsidR="008A7E17" w:rsidRDefault="008A7E17" w:rsidP="005247BF">
      <w:pPr>
        <w:tabs>
          <w:tab w:val="left" w:pos="1080"/>
          <w:tab w:val="left" w:pos="1980"/>
        </w:tabs>
        <w:spacing w:after="0" w:line="240" w:lineRule="auto"/>
        <w:ind w:left="1980"/>
        <w:jc w:val="both"/>
        <w:rPr>
          <w:rFonts w:ascii="Tahoma" w:hAnsi="Tahoma" w:cs="Tahoma"/>
          <w:sz w:val="24"/>
          <w:szCs w:val="24"/>
        </w:rPr>
      </w:pPr>
    </w:p>
    <w:p w:rsidR="008A7E17" w:rsidRDefault="00670CEC" w:rsidP="005247BF">
      <w:pPr>
        <w:pStyle w:val="Heading3"/>
      </w:pPr>
      <w:r>
        <w:rPr>
          <w:b/>
        </w:rPr>
        <w:t xml:space="preserve">Validity of the Authority to Operate. </w:t>
      </w:r>
      <w:r>
        <w:t>The Authority to Operate a CFW, including any additional facilities, issued pursuant to this CAO shall be valid for three (3) years counted from the date of the approval by the Commissioner of the application or renewal, as the case may be.</w:t>
      </w:r>
      <w:r w:rsidR="00C17704">
        <w:rPr>
          <w:rStyle w:val="FootnoteReference"/>
        </w:rPr>
        <w:footnoteReference w:id="64"/>
      </w:r>
      <w:r>
        <w:t xml:space="preserve"> </w:t>
      </w:r>
    </w:p>
    <w:p w:rsidR="008A7E17" w:rsidRDefault="008A7E17" w:rsidP="005247BF">
      <w:pPr>
        <w:pStyle w:val="ListParagraph1"/>
        <w:tabs>
          <w:tab w:val="left" w:pos="1080"/>
        </w:tabs>
        <w:spacing w:after="0" w:line="240" w:lineRule="auto"/>
        <w:ind w:left="1440"/>
        <w:jc w:val="both"/>
      </w:pPr>
    </w:p>
    <w:p w:rsidR="008A7E17" w:rsidRDefault="00670CEC" w:rsidP="005247BF">
      <w:pPr>
        <w:pStyle w:val="Heading3"/>
      </w:pPr>
      <w:r w:rsidRPr="005247BF">
        <w:rPr>
          <w:b/>
        </w:rPr>
        <w:t>Renewal of Authority to Operate</w:t>
      </w:r>
      <w:r w:rsidR="00A37662" w:rsidRPr="005247BF">
        <w:rPr>
          <w:b/>
        </w:rPr>
        <w:t>.</w:t>
      </w:r>
      <w:r w:rsidR="00C17704">
        <w:rPr>
          <w:rStyle w:val="FootnoteReference"/>
        </w:rPr>
        <w:footnoteReference w:id="65"/>
      </w:r>
    </w:p>
    <w:p w:rsidR="008A7E17" w:rsidRDefault="008A7E17" w:rsidP="005247BF">
      <w:pPr>
        <w:tabs>
          <w:tab w:val="left" w:pos="1080"/>
        </w:tabs>
        <w:spacing w:after="0" w:line="240" w:lineRule="auto"/>
        <w:jc w:val="both"/>
        <w:rPr>
          <w:rFonts w:ascii="Tahoma" w:hAnsi="Tahoma" w:cs="Tahoma"/>
          <w:b/>
          <w:sz w:val="24"/>
          <w:szCs w:val="24"/>
        </w:rPr>
      </w:pPr>
    </w:p>
    <w:p w:rsidR="008A7E17" w:rsidRPr="005247BF" w:rsidRDefault="00670CEC" w:rsidP="005247BF">
      <w:pPr>
        <w:pStyle w:val="SubLettering"/>
        <w:numPr>
          <w:ilvl w:val="0"/>
          <w:numId w:val="50"/>
        </w:numPr>
        <w:rPr>
          <w:b/>
          <w:bCs/>
        </w:rPr>
      </w:pPr>
      <w:r>
        <w:t>Application for renewal of Authority to Operate a CFW shall be filed at least three (3) months before its expiration.</w:t>
      </w:r>
    </w:p>
    <w:p w:rsidR="008A7E17" w:rsidRPr="005247BF" w:rsidRDefault="00670CEC" w:rsidP="005247BF">
      <w:pPr>
        <w:pStyle w:val="SubLettering"/>
        <w:numPr>
          <w:ilvl w:val="0"/>
          <w:numId w:val="50"/>
        </w:numPr>
        <w:rPr>
          <w:b/>
        </w:rPr>
      </w:pPr>
      <w:r>
        <w:t xml:space="preserve">Non-filing within the prescribed period shall cause the imposition of penalties, including suspension or revocation of the Authority to Operate, to be provided by the Commissioner in a </w:t>
      </w:r>
      <w:r w:rsidR="00F37615">
        <w:t>CMO</w:t>
      </w:r>
      <w:r>
        <w:t xml:space="preserve"> to be issued in connection with this </w:t>
      </w:r>
      <w:r w:rsidR="00CA53F9">
        <w:t>CAO</w:t>
      </w:r>
      <w:r>
        <w:t>.</w:t>
      </w:r>
    </w:p>
    <w:p w:rsidR="00F46395" w:rsidRDefault="00670CEC" w:rsidP="005247BF">
      <w:pPr>
        <w:pStyle w:val="Heading2"/>
        <w:tabs>
          <w:tab w:val="left" w:pos="1440"/>
        </w:tabs>
        <w:rPr>
          <w:b/>
        </w:rPr>
      </w:pPr>
      <w:r w:rsidRPr="005247BF">
        <w:rPr>
          <w:b/>
        </w:rPr>
        <w:lastRenderedPageBreak/>
        <w:t>Appeal on the Denial of the Application for Establishment or</w:t>
      </w:r>
      <w:r w:rsidR="00F46395">
        <w:rPr>
          <w:b/>
        </w:rPr>
        <w:t xml:space="preserve"> </w:t>
      </w:r>
      <w:r w:rsidR="00F46395" w:rsidRPr="002F52D2">
        <w:rPr>
          <w:b/>
        </w:rPr>
        <w:t>Renewal of the Authority to Operate CFW.</w:t>
      </w:r>
    </w:p>
    <w:p w:rsidR="008A7E17" w:rsidRDefault="008A7E17" w:rsidP="005247BF">
      <w:pPr>
        <w:pStyle w:val="Heading2"/>
        <w:numPr>
          <w:ilvl w:val="0"/>
          <w:numId w:val="0"/>
        </w:numPr>
        <w:ind w:left="1620"/>
      </w:pPr>
    </w:p>
    <w:p w:rsidR="008A7E17" w:rsidRDefault="00670CEC" w:rsidP="005247BF">
      <w:pPr>
        <w:pStyle w:val="Heading3"/>
        <w:rPr>
          <w:b/>
        </w:rPr>
      </w:pPr>
      <w:r>
        <w:t>The applicant may appeal the denial of the application to establish or renew CFW by filing a notice of appeal to the District Collector who denied such application within fifteen (15) days from receipt of the order of denial.</w:t>
      </w:r>
    </w:p>
    <w:p w:rsidR="008A7E17" w:rsidRDefault="008A7E17" w:rsidP="005247BF">
      <w:pPr>
        <w:pStyle w:val="ListParagraph1"/>
        <w:tabs>
          <w:tab w:val="left" w:pos="1080"/>
          <w:tab w:val="left" w:pos="2200"/>
        </w:tabs>
        <w:spacing w:after="0" w:line="240" w:lineRule="auto"/>
        <w:ind w:leftChars="700" w:left="1551" w:hanging="11"/>
        <w:jc w:val="both"/>
        <w:rPr>
          <w:rFonts w:ascii="Tahoma" w:hAnsi="Tahoma" w:cs="Tahoma"/>
          <w:b/>
          <w:sz w:val="24"/>
          <w:szCs w:val="24"/>
        </w:rPr>
      </w:pPr>
    </w:p>
    <w:p w:rsidR="008A7E17" w:rsidRDefault="00670CEC" w:rsidP="005247BF">
      <w:pPr>
        <w:pStyle w:val="Heading3"/>
        <w:rPr>
          <w:b/>
        </w:rPr>
      </w:pPr>
      <w:r>
        <w:t>The District Collector shall forward to the Commissioner the complete records of the application within five (5) days from receipt of the notice of appeal.</w:t>
      </w:r>
    </w:p>
    <w:p w:rsidR="008A7E17" w:rsidRDefault="008A7E17" w:rsidP="005247BF">
      <w:pPr>
        <w:tabs>
          <w:tab w:val="left" w:pos="1080"/>
        </w:tabs>
        <w:spacing w:after="0" w:line="240" w:lineRule="auto"/>
        <w:jc w:val="both"/>
        <w:rPr>
          <w:rFonts w:ascii="Tahoma" w:hAnsi="Tahoma" w:cs="Tahoma"/>
          <w:b/>
          <w:sz w:val="24"/>
          <w:szCs w:val="24"/>
        </w:rPr>
      </w:pPr>
    </w:p>
    <w:p w:rsidR="008A7E17" w:rsidRDefault="00670CEC" w:rsidP="005247BF">
      <w:pPr>
        <w:pStyle w:val="Heading3"/>
        <w:rPr>
          <w:b/>
        </w:rPr>
      </w:pPr>
      <w:r>
        <w:t>The Commissioner shall render a decision within sixty (60) days from receipt of the complete records of the case from the District Collector.</w:t>
      </w:r>
    </w:p>
    <w:p w:rsidR="008A7E17" w:rsidRDefault="008A7E17" w:rsidP="005247BF">
      <w:pPr>
        <w:tabs>
          <w:tab w:val="left" w:pos="1080"/>
        </w:tabs>
        <w:spacing w:after="0" w:line="240" w:lineRule="auto"/>
        <w:ind w:leftChars="700" w:left="2198" w:hangingChars="273" w:hanging="658"/>
        <w:jc w:val="both"/>
        <w:rPr>
          <w:rFonts w:ascii="Tahoma" w:hAnsi="Tahoma" w:cs="Tahoma"/>
          <w:b/>
          <w:sz w:val="24"/>
          <w:szCs w:val="24"/>
        </w:rPr>
      </w:pPr>
    </w:p>
    <w:p w:rsidR="008A7E17" w:rsidRDefault="00670CEC" w:rsidP="005247BF">
      <w:pPr>
        <w:pStyle w:val="Heading3"/>
        <w:rPr>
          <w:b/>
        </w:rPr>
      </w:pPr>
      <w:r>
        <w:t>The decision of the Commissioner shall be final and executory.</w:t>
      </w:r>
    </w:p>
    <w:p w:rsidR="008A7E17" w:rsidRDefault="008A7E17" w:rsidP="005247BF">
      <w:pPr>
        <w:tabs>
          <w:tab w:val="left" w:pos="1080"/>
        </w:tabs>
        <w:spacing w:after="0" w:line="240" w:lineRule="auto"/>
        <w:jc w:val="both"/>
        <w:rPr>
          <w:rFonts w:ascii="Tahoma" w:hAnsi="Tahoma" w:cs="Tahoma"/>
          <w:b/>
          <w:sz w:val="24"/>
          <w:szCs w:val="24"/>
        </w:rPr>
      </w:pPr>
    </w:p>
    <w:p w:rsidR="008A7E17" w:rsidRDefault="00670CEC" w:rsidP="005247BF">
      <w:pPr>
        <w:pStyle w:val="Heading2"/>
      </w:pPr>
      <w:r>
        <w:rPr>
          <w:b/>
        </w:rPr>
        <w:t xml:space="preserve"> Appeal in Other Case</w:t>
      </w:r>
      <w:r w:rsidR="007E023C">
        <w:rPr>
          <w:b/>
        </w:rPr>
        <w:t>s.</w:t>
      </w:r>
      <w:r>
        <w:rPr>
          <w:b/>
        </w:rPr>
        <w:t xml:space="preserve"> </w:t>
      </w:r>
      <w:r>
        <w:t xml:space="preserve">The aggrieved party may appeal any adverse decision by the District Collector to the Commissioner by filing a Notice of Appeal in the same manner set forth under </w:t>
      </w:r>
      <w:r w:rsidRPr="005247BF">
        <w:rPr>
          <w:color w:val="auto"/>
        </w:rPr>
        <w:t xml:space="preserve">Section </w:t>
      </w:r>
      <w:r w:rsidR="0028438D" w:rsidRPr="005247BF">
        <w:rPr>
          <w:color w:val="auto"/>
        </w:rPr>
        <w:t>6.7</w:t>
      </w:r>
      <w:r w:rsidRPr="005247BF">
        <w:rPr>
          <w:color w:val="auto"/>
        </w:rPr>
        <w:t>.</w:t>
      </w:r>
    </w:p>
    <w:p w:rsidR="008A7E17" w:rsidRDefault="008A7E17" w:rsidP="005247BF">
      <w:pPr>
        <w:tabs>
          <w:tab w:val="left" w:pos="1080"/>
        </w:tabs>
        <w:spacing w:after="0" w:line="240" w:lineRule="auto"/>
        <w:jc w:val="both"/>
        <w:rPr>
          <w:rFonts w:ascii="Tahoma" w:hAnsi="Tahoma" w:cs="Tahoma"/>
          <w:b/>
          <w:sz w:val="24"/>
          <w:szCs w:val="24"/>
        </w:rPr>
      </w:pPr>
    </w:p>
    <w:p w:rsidR="001C5A1F" w:rsidRDefault="00670CEC" w:rsidP="005247BF">
      <w:pPr>
        <w:pStyle w:val="Heading2"/>
        <w:rPr>
          <w:color w:val="FF0000"/>
        </w:rPr>
      </w:pPr>
      <w:r>
        <w:rPr>
          <w:b/>
        </w:rPr>
        <w:t>Discontinuance of CFW</w:t>
      </w:r>
      <w:r w:rsidRPr="005247BF">
        <w:rPr>
          <w:b/>
        </w:rPr>
        <w:t>.</w:t>
      </w:r>
      <w:r w:rsidR="007E023C">
        <w:t xml:space="preserve"> </w:t>
      </w:r>
      <w:r>
        <w:t>The use of any CFW may be discontinued by the District Collector when conditions so warrant, or upon receipt of a written request from the operator;</w:t>
      </w:r>
      <w:r w:rsidRPr="007E053F">
        <w:t xml:space="preserve"> Provided,</w:t>
      </w:r>
      <w:r>
        <w:t xml:space="preserve"> that all the requirements of the laws and regulations have been complied with by the said operator.</w:t>
      </w:r>
      <w:r w:rsidR="00C17704">
        <w:rPr>
          <w:rStyle w:val="FootnoteReference"/>
        </w:rPr>
        <w:footnoteReference w:id="66"/>
      </w:r>
    </w:p>
    <w:p w:rsidR="002D2083" w:rsidRPr="005247BF" w:rsidRDefault="002D2083" w:rsidP="005247BF">
      <w:pPr>
        <w:spacing w:after="0"/>
      </w:pPr>
    </w:p>
    <w:p w:rsidR="008A7E17" w:rsidRPr="005247BF" w:rsidRDefault="00670CEC" w:rsidP="005247BF">
      <w:pPr>
        <w:pStyle w:val="Heading2"/>
        <w:rPr>
          <w:color w:val="FF0000"/>
        </w:rPr>
      </w:pPr>
      <w:r w:rsidRPr="005247BF">
        <w:rPr>
          <w:b/>
        </w:rPr>
        <w:t>Voluntary Discontinuance of a CFW</w:t>
      </w:r>
      <w:r w:rsidR="002D2083" w:rsidRPr="005247BF">
        <w:rPr>
          <w:b/>
        </w:rPr>
        <w:t>.</w:t>
      </w:r>
      <w:r w:rsidR="00F224AC" w:rsidRPr="005247BF">
        <w:rPr>
          <w:rStyle w:val="FootnoteReference"/>
        </w:rPr>
        <w:footnoteReference w:id="67"/>
      </w:r>
      <w:r>
        <w:t xml:space="preserve"> </w:t>
      </w:r>
    </w:p>
    <w:p w:rsidR="008A7E17" w:rsidRDefault="008A7E17" w:rsidP="005247BF">
      <w:pPr>
        <w:pStyle w:val="ListParagraph1"/>
        <w:tabs>
          <w:tab w:val="left" w:pos="1080"/>
        </w:tabs>
        <w:spacing w:after="0" w:line="240" w:lineRule="auto"/>
        <w:ind w:left="1430"/>
        <w:jc w:val="both"/>
        <w:rPr>
          <w:rFonts w:ascii="Tahoma" w:hAnsi="Tahoma" w:cs="Tahoma"/>
          <w:b/>
          <w:sz w:val="24"/>
          <w:szCs w:val="24"/>
        </w:rPr>
      </w:pPr>
    </w:p>
    <w:p w:rsidR="008A7E17" w:rsidRDefault="00670CEC" w:rsidP="005247BF">
      <w:pPr>
        <w:pStyle w:val="Heading3"/>
        <w:tabs>
          <w:tab w:val="left" w:pos="2520"/>
          <w:tab w:val="left" w:pos="2610"/>
        </w:tabs>
        <w:rPr>
          <w:b/>
        </w:rPr>
      </w:pPr>
      <w:r>
        <w:t>In cases where the discontinuance is due to the written request from the operator, the District Collector shall require all cargoes remaining in the CFW to be released to its consignee(s) upon payment of all duties, taxes and other charges due thereon and after compliance with applicable rules and regulations.</w:t>
      </w:r>
    </w:p>
    <w:p w:rsidR="008A7E17" w:rsidRDefault="008A7E17" w:rsidP="005247BF">
      <w:pPr>
        <w:pStyle w:val="Heading3"/>
        <w:numPr>
          <w:ilvl w:val="0"/>
          <w:numId w:val="0"/>
        </w:numPr>
        <w:ind w:left="2430"/>
        <w:rPr>
          <w:b/>
        </w:rPr>
      </w:pPr>
    </w:p>
    <w:p w:rsidR="008A7E17" w:rsidRDefault="00670CEC" w:rsidP="005247BF">
      <w:pPr>
        <w:pStyle w:val="Heading3"/>
        <w:tabs>
          <w:tab w:val="left" w:pos="2520"/>
        </w:tabs>
        <w:rPr>
          <w:b/>
        </w:rPr>
      </w:pPr>
      <w:r>
        <w:t xml:space="preserve">Any overstaying cargoes still remaining with the operator shall be inventoried and transferred to a </w:t>
      </w:r>
      <w:r w:rsidR="00965B3D">
        <w:t xml:space="preserve">Bureau </w:t>
      </w:r>
      <w:r>
        <w:t>warehouse at the expense of the operator</w:t>
      </w:r>
      <w:r w:rsidRPr="007E053F">
        <w:t>.</w:t>
      </w:r>
    </w:p>
    <w:p w:rsidR="008A7E17" w:rsidRDefault="008A7E17" w:rsidP="005247BF">
      <w:pPr>
        <w:pStyle w:val="Heading3"/>
        <w:numPr>
          <w:ilvl w:val="0"/>
          <w:numId w:val="0"/>
        </w:numPr>
        <w:ind w:left="2430"/>
      </w:pPr>
    </w:p>
    <w:p w:rsidR="008A7E17" w:rsidRPr="005247BF" w:rsidRDefault="00670CEC" w:rsidP="005247BF">
      <w:pPr>
        <w:pStyle w:val="Heading3"/>
        <w:tabs>
          <w:tab w:val="left" w:pos="2520"/>
        </w:tabs>
        <w:rPr>
          <w:b/>
        </w:rPr>
      </w:pPr>
      <w:r>
        <w:t>Discontinuance of the use of any warehouse shall be effective upon approval thereof by the District Collector who shall, within ten (10) days, inform the Commissioner of such action in writing.</w:t>
      </w:r>
    </w:p>
    <w:p w:rsidR="0007063A" w:rsidRDefault="0007063A" w:rsidP="005247BF">
      <w:pPr>
        <w:pStyle w:val="ListParagraph1"/>
        <w:tabs>
          <w:tab w:val="left" w:pos="1080"/>
        </w:tabs>
        <w:spacing w:after="0" w:line="240" w:lineRule="auto"/>
        <w:ind w:left="0"/>
        <w:jc w:val="both"/>
        <w:rPr>
          <w:rFonts w:ascii="Tahoma" w:hAnsi="Tahoma" w:cs="Tahoma"/>
          <w:b/>
          <w:sz w:val="24"/>
          <w:szCs w:val="24"/>
        </w:rPr>
      </w:pPr>
    </w:p>
    <w:p w:rsidR="006E2DBD" w:rsidRPr="005247BF" w:rsidRDefault="00670CEC" w:rsidP="005247BF">
      <w:pPr>
        <w:pStyle w:val="Heading2"/>
      </w:pPr>
      <w:r w:rsidRPr="005247BF">
        <w:rPr>
          <w:b/>
        </w:rPr>
        <w:t>Customs Initiated Discontinuance/Revocation of Authority.</w:t>
      </w:r>
    </w:p>
    <w:p w:rsidR="008A7E17" w:rsidRPr="00724334" w:rsidRDefault="008A7E17" w:rsidP="005247BF">
      <w:pPr>
        <w:pStyle w:val="Heading2"/>
        <w:numPr>
          <w:ilvl w:val="0"/>
          <w:numId w:val="0"/>
        </w:numPr>
        <w:ind w:left="1620"/>
      </w:pPr>
    </w:p>
    <w:p w:rsidR="008A7E17" w:rsidRDefault="00670CEC" w:rsidP="005247BF">
      <w:pPr>
        <w:pStyle w:val="Heading3"/>
        <w:tabs>
          <w:tab w:val="left" w:pos="2520"/>
        </w:tabs>
      </w:pPr>
      <w:r>
        <w:t>The</w:t>
      </w:r>
      <w:r w:rsidRPr="007E053F">
        <w:t xml:space="preserve"> </w:t>
      </w:r>
      <w:r>
        <w:t>operation of a CFW may be discontinued or the authority revoked on any of the following grounds:</w:t>
      </w:r>
    </w:p>
    <w:p w:rsidR="00C17360" w:rsidRDefault="00C17360" w:rsidP="005247BF">
      <w:pPr>
        <w:pStyle w:val="SubLettering"/>
        <w:numPr>
          <w:ilvl w:val="0"/>
          <w:numId w:val="0"/>
        </w:numPr>
        <w:spacing w:after="0"/>
      </w:pPr>
    </w:p>
    <w:p w:rsidR="008A7E17" w:rsidRDefault="00670CEC" w:rsidP="005247BF">
      <w:pPr>
        <w:pStyle w:val="SubLettering"/>
        <w:numPr>
          <w:ilvl w:val="0"/>
          <w:numId w:val="51"/>
        </w:numPr>
      </w:pPr>
      <w:r>
        <w:t>When the facility becomes a conduit in smuggling and other illegal activities;</w:t>
      </w:r>
    </w:p>
    <w:p w:rsidR="008A7E17" w:rsidRDefault="00670CEC" w:rsidP="005247BF">
      <w:pPr>
        <w:pStyle w:val="SubLettering"/>
        <w:numPr>
          <w:ilvl w:val="0"/>
          <w:numId w:val="51"/>
        </w:numPr>
      </w:pPr>
      <w:r>
        <w:t>In case of pilferage of goods stored in the facility;</w:t>
      </w:r>
    </w:p>
    <w:p w:rsidR="008A7E17" w:rsidRDefault="00670CEC" w:rsidP="005247BF">
      <w:pPr>
        <w:pStyle w:val="SubLettering"/>
        <w:numPr>
          <w:ilvl w:val="0"/>
          <w:numId w:val="51"/>
        </w:numPr>
      </w:pPr>
      <w:r>
        <w:t>Failure to account for cargoes stored therein;</w:t>
      </w:r>
    </w:p>
    <w:p w:rsidR="008A7E17" w:rsidRDefault="00670CEC" w:rsidP="005247BF">
      <w:pPr>
        <w:pStyle w:val="SubLettering"/>
        <w:numPr>
          <w:ilvl w:val="0"/>
          <w:numId w:val="51"/>
        </w:numPr>
      </w:pPr>
      <w:r>
        <w:t>Violation of customs laws, rules and regulations; and</w:t>
      </w:r>
      <w:r w:rsidR="00AF3205">
        <w:t>,</w:t>
      </w:r>
    </w:p>
    <w:p w:rsidR="008A7E17" w:rsidRPr="00EB0364" w:rsidRDefault="00670CEC" w:rsidP="005247BF">
      <w:pPr>
        <w:pStyle w:val="SubLettering"/>
        <w:numPr>
          <w:ilvl w:val="0"/>
          <w:numId w:val="51"/>
        </w:numPr>
      </w:pPr>
      <w:r>
        <w:t>Other violation of Philippine laws.</w:t>
      </w:r>
    </w:p>
    <w:p w:rsidR="008A7E17" w:rsidRDefault="00670CEC" w:rsidP="005247BF">
      <w:pPr>
        <w:pStyle w:val="Heading3"/>
        <w:tabs>
          <w:tab w:val="left" w:pos="2340"/>
          <w:tab w:val="left" w:pos="2520"/>
        </w:tabs>
      </w:pPr>
      <w:r>
        <w:t xml:space="preserve">In case </w:t>
      </w:r>
      <w:r w:rsidR="00362C74">
        <w:t xml:space="preserve">the Bureau </w:t>
      </w:r>
      <w:r>
        <w:t xml:space="preserve">initiated discontinuance or revocation of authority based on the aforementioned grounds, a </w:t>
      </w:r>
      <w:r w:rsidR="00BE293A">
        <w:t>CMO</w:t>
      </w:r>
      <w:r>
        <w:t xml:space="preserve"> shall be issued to outline the conduct of the administrative proceedings to be instituted in such cases. The CMO shall likewise provide for the imposition of other penalties or fines and/or suspension in lieu of discontinuance/revocation.</w:t>
      </w:r>
    </w:p>
    <w:p w:rsidR="008A7E17" w:rsidRDefault="008A7E17" w:rsidP="005247BF">
      <w:pPr>
        <w:pStyle w:val="ListParagraph1"/>
        <w:tabs>
          <w:tab w:val="left" w:pos="1080"/>
        </w:tabs>
        <w:spacing w:after="0" w:line="240" w:lineRule="auto"/>
        <w:ind w:left="3240"/>
        <w:jc w:val="both"/>
        <w:rPr>
          <w:rFonts w:ascii="Tahoma" w:hAnsi="Tahoma" w:cs="Tahoma"/>
          <w:sz w:val="24"/>
          <w:szCs w:val="24"/>
        </w:rPr>
      </w:pPr>
    </w:p>
    <w:p w:rsidR="008A7E17" w:rsidRPr="005247BF" w:rsidRDefault="0007063A" w:rsidP="005247BF">
      <w:pPr>
        <w:pStyle w:val="Heading2"/>
        <w:rPr>
          <w:b/>
        </w:rPr>
      </w:pPr>
      <w:r>
        <w:t xml:space="preserve"> </w:t>
      </w:r>
      <w:r w:rsidR="00670CEC" w:rsidRPr="005247BF">
        <w:rPr>
          <w:b/>
        </w:rPr>
        <w:t>Effects of Discontinuance.</w:t>
      </w:r>
    </w:p>
    <w:p w:rsidR="0007063A" w:rsidRDefault="0007063A" w:rsidP="005247BF">
      <w:pPr>
        <w:pStyle w:val="Heading3"/>
        <w:numPr>
          <w:ilvl w:val="0"/>
          <w:numId w:val="0"/>
        </w:numPr>
        <w:ind w:left="2430"/>
      </w:pPr>
    </w:p>
    <w:p w:rsidR="008A7E17" w:rsidRDefault="00670CEC" w:rsidP="005247BF">
      <w:pPr>
        <w:pStyle w:val="Heading3"/>
        <w:tabs>
          <w:tab w:val="left" w:pos="2340"/>
          <w:tab w:val="left" w:pos="2520"/>
        </w:tabs>
      </w:pPr>
      <w:r>
        <w:t xml:space="preserve">Where dutiable goods are stored in such premises, the same must be removed at the risk and expense of the operator: </w:t>
      </w:r>
      <w:r w:rsidRPr="007E053F">
        <w:t>Provided, however,</w:t>
      </w:r>
      <w:r>
        <w:t xml:space="preserve"> that the premises shall not be relinquished, and its use shall not be discontinued until after a careful examination of the account of the warehouse shall have been made. </w:t>
      </w:r>
    </w:p>
    <w:p w:rsidR="008A7E17" w:rsidRDefault="008A7E17" w:rsidP="005247BF">
      <w:pPr>
        <w:pStyle w:val="Heading3"/>
        <w:numPr>
          <w:ilvl w:val="0"/>
          <w:numId w:val="0"/>
        </w:numPr>
        <w:ind w:left="2430"/>
      </w:pPr>
    </w:p>
    <w:p w:rsidR="008A7E17" w:rsidRDefault="00670CEC" w:rsidP="005247BF">
      <w:pPr>
        <w:pStyle w:val="Heading3"/>
        <w:tabs>
          <w:tab w:val="left" w:pos="2520"/>
        </w:tabs>
      </w:pPr>
      <w:r>
        <w:t>Any notice of discontinuance made by the operator shall not result in the discharge from the payment of duties, taxes, fees and other charges imposed on dutiable goods in the said warehouse.</w:t>
      </w:r>
    </w:p>
    <w:p w:rsidR="008A7E17" w:rsidRDefault="008A7E17" w:rsidP="005247BF">
      <w:pPr>
        <w:pStyle w:val="Heading3"/>
        <w:numPr>
          <w:ilvl w:val="0"/>
          <w:numId w:val="0"/>
        </w:numPr>
        <w:ind w:left="2430"/>
      </w:pPr>
    </w:p>
    <w:p w:rsidR="008A7E17" w:rsidRDefault="00670CEC" w:rsidP="005247BF">
      <w:pPr>
        <w:pStyle w:val="Heading3"/>
        <w:tabs>
          <w:tab w:val="left" w:pos="2520"/>
        </w:tabs>
      </w:pPr>
      <w:r>
        <w:t xml:space="preserve">The owner, operator, or officers of the CFW shall not be relieved of from criminal liability arising from any violation of the tariff and customs laws and other laws enforced by the </w:t>
      </w:r>
      <w:r w:rsidR="00A71B66">
        <w:t>B</w:t>
      </w:r>
      <w:r>
        <w:t>ureau in connection with the operation of a CFW.</w:t>
      </w:r>
    </w:p>
    <w:p w:rsidR="008A7E17" w:rsidRDefault="00670CEC" w:rsidP="005247BF">
      <w:pPr>
        <w:pStyle w:val="ListParagraph1"/>
        <w:tabs>
          <w:tab w:val="left" w:pos="1080"/>
        </w:tabs>
        <w:spacing w:after="0" w:line="240" w:lineRule="auto"/>
        <w:ind w:left="1033"/>
        <w:jc w:val="both"/>
        <w:rPr>
          <w:rFonts w:ascii="Tahoma" w:hAnsi="Tahoma" w:cs="Tahoma"/>
          <w:sz w:val="24"/>
          <w:szCs w:val="24"/>
        </w:rPr>
      </w:pPr>
      <w:r>
        <w:rPr>
          <w:rFonts w:ascii="Tahoma" w:hAnsi="Tahoma" w:cs="Tahoma"/>
          <w:sz w:val="24"/>
          <w:szCs w:val="24"/>
        </w:rPr>
        <w:t xml:space="preserve"> </w:t>
      </w:r>
    </w:p>
    <w:p w:rsidR="008A7E17" w:rsidRDefault="00670CEC" w:rsidP="005247BF">
      <w:pPr>
        <w:pStyle w:val="Heading2"/>
        <w:rPr>
          <w:b/>
        </w:rPr>
      </w:pPr>
      <w:r>
        <w:rPr>
          <w:b/>
        </w:rPr>
        <w:t>Period of Stay of Articles in CFWs</w:t>
      </w:r>
      <w:r w:rsidRPr="005247BF">
        <w:rPr>
          <w:b/>
        </w:rPr>
        <w:t>.</w:t>
      </w:r>
      <w:r w:rsidR="00312CCE">
        <w:t xml:space="preserve"> </w:t>
      </w:r>
      <w:r>
        <w:t xml:space="preserve">Imported goods shall be released only when the goods declaration is electronically lodged, together with any related document required by any provision of the CMTA and other regulations. All goods entered into the CFWs shall be subject to the filing </w:t>
      </w:r>
      <w:r>
        <w:lastRenderedPageBreak/>
        <w:t xml:space="preserve">of goods declaration within the period specified under Section 407 of the CMTA. </w:t>
      </w:r>
    </w:p>
    <w:p w:rsidR="008A7E17" w:rsidRDefault="008A7E17" w:rsidP="005247BF">
      <w:pPr>
        <w:pStyle w:val="ListParagraph1"/>
        <w:tabs>
          <w:tab w:val="left" w:pos="1080"/>
        </w:tabs>
        <w:spacing w:after="0" w:line="240" w:lineRule="auto"/>
        <w:ind w:left="1440"/>
        <w:jc w:val="both"/>
        <w:rPr>
          <w:rFonts w:ascii="Tahoma" w:hAnsi="Tahoma" w:cs="Tahoma"/>
          <w:b/>
          <w:sz w:val="24"/>
          <w:szCs w:val="24"/>
        </w:rPr>
      </w:pPr>
    </w:p>
    <w:p w:rsidR="008A7E17" w:rsidRDefault="00670CEC" w:rsidP="005247BF">
      <w:pPr>
        <w:pStyle w:val="Heading2"/>
        <w:rPr>
          <w:b/>
        </w:rPr>
      </w:pPr>
      <w:r>
        <w:rPr>
          <w:b/>
        </w:rPr>
        <w:t xml:space="preserve">Supervision fees. </w:t>
      </w:r>
      <w:r>
        <w:t xml:space="preserve">An annual supervision fee shall be imposed on CFWs in the amount provided in a </w:t>
      </w:r>
      <w:r w:rsidR="006D63B0">
        <w:t>CMO</w:t>
      </w:r>
      <w:r>
        <w:t xml:space="preserve"> to be issued by the Commissioner pursuant to this </w:t>
      </w:r>
      <w:r w:rsidR="00A62B30">
        <w:t>CAO</w:t>
      </w:r>
      <w:r>
        <w:t>.</w:t>
      </w:r>
    </w:p>
    <w:p w:rsidR="00A62B30" w:rsidRDefault="00A62B30" w:rsidP="005247BF">
      <w:pPr>
        <w:pStyle w:val="ListParagraph1"/>
        <w:tabs>
          <w:tab w:val="left" w:pos="1080"/>
        </w:tabs>
        <w:spacing w:after="0" w:line="240" w:lineRule="auto"/>
        <w:ind w:left="780"/>
        <w:jc w:val="both"/>
        <w:rPr>
          <w:rFonts w:ascii="Tahoma" w:hAnsi="Tahoma" w:cs="Tahoma"/>
          <w:b/>
          <w:sz w:val="24"/>
          <w:szCs w:val="24"/>
        </w:rPr>
      </w:pPr>
    </w:p>
    <w:p w:rsidR="008A7E17" w:rsidRDefault="00A62B30" w:rsidP="005247BF">
      <w:pPr>
        <w:pStyle w:val="Heading2"/>
        <w:rPr>
          <w:b/>
        </w:rPr>
      </w:pPr>
      <w:r>
        <w:rPr>
          <w:b/>
        </w:rPr>
        <w:t xml:space="preserve"> </w:t>
      </w:r>
      <w:r w:rsidR="00670CEC">
        <w:rPr>
          <w:b/>
        </w:rPr>
        <w:t xml:space="preserve">Security. </w:t>
      </w:r>
      <w:r w:rsidR="00670CEC">
        <w:t>The operator shall post a surety bond</w:t>
      </w:r>
      <w:r w:rsidR="00670CEC">
        <w:rPr>
          <w:b/>
        </w:rPr>
        <w:t xml:space="preserve"> </w:t>
      </w:r>
      <w:r w:rsidR="00670CEC">
        <w:t xml:space="preserve">to cover for duties and taxes due on lost or damaged goods stored or transferred to the facilities. </w:t>
      </w:r>
    </w:p>
    <w:p w:rsidR="008A7E17" w:rsidRDefault="008A7E17" w:rsidP="005247BF">
      <w:pPr>
        <w:pStyle w:val="ListParagraph1"/>
        <w:tabs>
          <w:tab w:val="left" w:pos="1080"/>
        </w:tabs>
        <w:spacing w:after="0" w:line="240" w:lineRule="auto"/>
        <w:ind w:left="1440"/>
        <w:jc w:val="both"/>
        <w:rPr>
          <w:rFonts w:ascii="Tahoma" w:hAnsi="Tahoma" w:cs="Tahoma"/>
          <w:b/>
          <w:sz w:val="24"/>
          <w:szCs w:val="24"/>
        </w:rPr>
      </w:pPr>
    </w:p>
    <w:p w:rsidR="008A7E17" w:rsidRDefault="00A62B30" w:rsidP="005247BF">
      <w:pPr>
        <w:pStyle w:val="Heading2"/>
        <w:contextualSpacing/>
        <w:rPr>
          <w:b/>
        </w:rPr>
      </w:pPr>
      <w:r>
        <w:t xml:space="preserve"> </w:t>
      </w:r>
      <w:r w:rsidR="00670CEC" w:rsidRPr="005247BF">
        <w:rPr>
          <w:b/>
        </w:rPr>
        <w:t>Reportorial Requirements and Annual Compliance Evaluation.</w:t>
      </w:r>
      <w:r w:rsidR="00C225E4" w:rsidRPr="005247BF">
        <w:rPr>
          <w:rStyle w:val="FootnoteReference"/>
        </w:rPr>
        <w:footnoteReference w:id="68"/>
      </w:r>
      <w:r w:rsidR="00670CEC" w:rsidRPr="004C073B">
        <w:t xml:space="preserve"> </w:t>
      </w:r>
    </w:p>
    <w:p w:rsidR="00C225E4" w:rsidRPr="005247BF" w:rsidRDefault="00C225E4" w:rsidP="005247BF">
      <w:pPr>
        <w:spacing w:after="0" w:line="240" w:lineRule="auto"/>
        <w:contextualSpacing/>
      </w:pPr>
    </w:p>
    <w:p w:rsidR="008A7E17" w:rsidRDefault="00670CEC" w:rsidP="005247BF">
      <w:pPr>
        <w:pStyle w:val="Heading3"/>
        <w:tabs>
          <w:tab w:val="left" w:pos="2520"/>
          <w:tab w:val="left" w:pos="2610"/>
        </w:tabs>
        <w:rPr>
          <w:b/>
        </w:rPr>
      </w:pPr>
      <w:r>
        <w:t>The Operator shall submit a weekly report containing a detailed statement of all imported goods entered and withdrawn from the CFW. The Bureau shall specify the format of the report and may require electronic submission or other modes allowed under customs rules and regulations.</w:t>
      </w:r>
    </w:p>
    <w:p w:rsidR="008A7E17" w:rsidRDefault="008A7E17" w:rsidP="005247BF">
      <w:pPr>
        <w:pStyle w:val="Heading3"/>
        <w:numPr>
          <w:ilvl w:val="0"/>
          <w:numId w:val="0"/>
        </w:numPr>
        <w:ind w:left="2430" w:hanging="810"/>
        <w:rPr>
          <w:b/>
        </w:rPr>
      </w:pPr>
    </w:p>
    <w:p w:rsidR="008A7E17" w:rsidRDefault="00670CEC" w:rsidP="005247BF">
      <w:pPr>
        <w:pStyle w:val="Heading3"/>
        <w:tabs>
          <w:tab w:val="left" w:pos="2520"/>
        </w:tabs>
        <w:rPr>
          <w:b/>
        </w:rPr>
      </w:pPr>
      <w:r>
        <w:t>The District Collector shall conduct an annual compliance       evaluation of the performance of all existing CFW operators.</w:t>
      </w:r>
    </w:p>
    <w:p w:rsidR="008A7E17" w:rsidRDefault="008A7E17" w:rsidP="005247BF">
      <w:pPr>
        <w:pStyle w:val="ListParagraph1"/>
        <w:tabs>
          <w:tab w:val="left" w:pos="1080"/>
        </w:tabs>
        <w:spacing w:after="0" w:line="240" w:lineRule="auto"/>
        <w:ind w:left="2520"/>
        <w:jc w:val="both"/>
        <w:rPr>
          <w:rFonts w:ascii="Tahoma" w:hAnsi="Tahoma" w:cs="Tahoma"/>
          <w:b/>
          <w:sz w:val="24"/>
          <w:szCs w:val="24"/>
        </w:rPr>
      </w:pPr>
    </w:p>
    <w:p w:rsidR="00DD36EC" w:rsidRDefault="00A62B30" w:rsidP="005247BF">
      <w:pPr>
        <w:pStyle w:val="Heading2"/>
        <w:contextualSpacing/>
      </w:pPr>
      <w:r>
        <w:rPr>
          <w:b/>
        </w:rPr>
        <w:t xml:space="preserve"> </w:t>
      </w:r>
      <w:r w:rsidR="00670CEC">
        <w:rPr>
          <w:b/>
        </w:rPr>
        <w:t>Post Audit</w:t>
      </w:r>
      <w:r w:rsidR="00670CEC" w:rsidRPr="005247BF">
        <w:rPr>
          <w:b/>
        </w:rPr>
        <w:t>.</w:t>
      </w:r>
      <w:r w:rsidR="00670CEC">
        <w:t xml:space="preserve"> All documents, books and records of accounts concerning the operation of the CFW shall, upon demand, be made available to the District Collector for examination or audit. For record purposes, all documents shall be kept for three (3) years.</w:t>
      </w:r>
      <w:r w:rsidR="00817CAA">
        <w:rPr>
          <w:rStyle w:val="FootnoteReference"/>
        </w:rPr>
        <w:footnoteReference w:id="69"/>
      </w:r>
      <w:r w:rsidR="00670CEC">
        <w:t xml:space="preserve"> </w:t>
      </w:r>
    </w:p>
    <w:p w:rsidR="003C1E83" w:rsidRDefault="00670CEC" w:rsidP="005247BF">
      <w:pPr>
        <w:pStyle w:val="Heading1"/>
      </w:pPr>
      <w:r w:rsidRPr="005247BF">
        <w:rPr>
          <w:u w:val="single"/>
        </w:rPr>
        <w:t xml:space="preserve">Responsibilities of Operators of </w:t>
      </w:r>
      <w:r w:rsidR="006E2DBD">
        <w:rPr>
          <w:u w:val="single"/>
        </w:rPr>
        <w:t>CBWs and CFWs</w:t>
      </w:r>
      <w:r w:rsidRPr="005247BF">
        <w:t xml:space="preserve">. </w:t>
      </w:r>
    </w:p>
    <w:p w:rsidR="00DD36EC" w:rsidRPr="005247BF" w:rsidRDefault="00DD36EC" w:rsidP="005247BF">
      <w:pPr>
        <w:pStyle w:val="Heading2"/>
        <w:numPr>
          <w:ilvl w:val="0"/>
          <w:numId w:val="0"/>
        </w:numPr>
        <w:ind w:left="1620"/>
        <w:rPr>
          <w:b/>
        </w:rPr>
      </w:pPr>
    </w:p>
    <w:p w:rsidR="008A7E17" w:rsidRDefault="00670CEC" w:rsidP="005247BF">
      <w:pPr>
        <w:pStyle w:val="Heading2"/>
        <w:rPr>
          <w:b/>
        </w:rPr>
      </w:pPr>
      <w:r>
        <w:t xml:space="preserve">Operators of </w:t>
      </w:r>
      <w:r w:rsidRPr="007E053F">
        <w:t>customs warehouses</w:t>
      </w:r>
      <w:r>
        <w:t xml:space="preserve"> shall comply with the</w:t>
      </w:r>
      <w:r w:rsidR="0043172D">
        <w:t xml:space="preserve"> requirements of the</w:t>
      </w:r>
      <w:r>
        <w:t xml:space="preserve"> </w:t>
      </w:r>
      <w:r w:rsidR="0043172D">
        <w:t xml:space="preserve">Bureau </w:t>
      </w:r>
      <w:r>
        <w:t>on establishment, security, suitability and management, including stock-keeping and accounting of the goods introduced therein.</w:t>
      </w:r>
    </w:p>
    <w:p w:rsidR="008A7E17" w:rsidRDefault="008A7E17" w:rsidP="005247BF">
      <w:pPr>
        <w:pStyle w:val="NoSpacing1"/>
        <w:tabs>
          <w:tab w:val="left" w:pos="1080"/>
        </w:tabs>
        <w:ind w:left="1980"/>
        <w:jc w:val="both"/>
        <w:rPr>
          <w:rFonts w:ascii="Tahoma" w:hAnsi="Tahoma" w:cs="Tahoma"/>
          <w:b/>
          <w:color w:val="000000" w:themeColor="text1"/>
          <w:sz w:val="24"/>
          <w:szCs w:val="24"/>
        </w:rPr>
      </w:pPr>
    </w:p>
    <w:p w:rsidR="008A7E17" w:rsidRDefault="00670CEC" w:rsidP="005247BF">
      <w:pPr>
        <w:pStyle w:val="Heading2"/>
        <w:rPr>
          <w:b/>
        </w:rPr>
      </w:pPr>
      <w:r>
        <w:t>Upon lawful demand, the operators shall allow authorized representatives of the Bureau access to the premises at a reasonable time, and to inspect all documents, books and records of accounts pertaining to the operations of the warehouse.</w:t>
      </w:r>
    </w:p>
    <w:p w:rsidR="008A7E17" w:rsidRDefault="008A7E17" w:rsidP="005247BF">
      <w:pPr>
        <w:pStyle w:val="Heading2"/>
        <w:numPr>
          <w:ilvl w:val="0"/>
          <w:numId w:val="0"/>
        </w:numPr>
        <w:ind w:left="1620"/>
      </w:pPr>
    </w:p>
    <w:p w:rsidR="008A7E17" w:rsidRDefault="00670CEC" w:rsidP="005247BF">
      <w:pPr>
        <w:pStyle w:val="Heading2"/>
        <w:rPr>
          <w:b/>
        </w:rPr>
      </w:pPr>
      <w:r>
        <w:t xml:space="preserve">In case of loss of the goods stored in </w:t>
      </w:r>
      <w:r w:rsidRPr="007E053F">
        <w:t xml:space="preserve">customs warehouses </w:t>
      </w:r>
      <w:r>
        <w:t xml:space="preserve">due to the operator's gross negligence or </w:t>
      </w:r>
      <w:r w:rsidR="000B4DBF">
        <w:t>willful</w:t>
      </w:r>
      <w:r>
        <w:t xml:space="preserve"> misconduct, the operator shall be made liable for the payment of duties and taxes due thereon. The </w:t>
      </w:r>
      <w:r>
        <w:lastRenderedPageBreak/>
        <w:t>government assumes no legal responsibility over the safekeeping of goods stored in any customs warehouse, yard, or premises.</w:t>
      </w:r>
      <w:r w:rsidR="001D3E99">
        <w:rPr>
          <w:rStyle w:val="FootnoteReference"/>
        </w:rPr>
        <w:footnoteReference w:id="70"/>
      </w:r>
    </w:p>
    <w:p w:rsidR="008A7E17" w:rsidRDefault="008A7E17" w:rsidP="005247BF">
      <w:pPr>
        <w:pStyle w:val="Heading2"/>
        <w:numPr>
          <w:ilvl w:val="0"/>
          <w:numId w:val="0"/>
        </w:numPr>
        <w:ind w:left="1620"/>
      </w:pPr>
    </w:p>
    <w:p w:rsidR="001676E3" w:rsidRDefault="00670CEC" w:rsidP="005247BF">
      <w:pPr>
        <w:pStyle w:val="Heading2"/>
      </w:pPr>
      <w:r>
        <w:t>Operators shall ensure a secured and safe environment for both persons and goods stored in the facilities by implementing effective security measures, such as the employment of a 24-hour security scheme and the installation of closed circuit television camera (CCTV) and similar devices.</w:t>
      </w:r>
    </w:p>
    <w:p w:rsidR="008A7E17" w:rsidRDefault="00670CEC" w:rsidP="005247BF">
      <w:pPr>
        <w:pStyle w:val="Heading1"/>
      </w:pPr>
      <w:r w:rsidRPr="005247BF">
        <w:rPr>
          <w:u w:val="single"/>
        </w:rPr>
        <w:t xml:space="preserve">Customs </w:t>
      </w:r>
      <w:r w:rsidR="00DC319E">
        <w:rPr>
          <w:u w:val="single"/>
        </w:rPr>
        <w:t xml:space="preserve">Supervision and </w:t>
      </w:r>
      <w:r w:rsidRPr="005247BF">
        <w:rPr>
          <w:u w:val="single"/>
        </w:rPr>
        <w:t xml:space="preserve">Control over </w:t>
      </w:r>
      <w:r w:rsidR="009B5614">
        <w:rPr>
          <w:u w:val="single"/>
        </w:rPr>
        <w:t>CBWs and CFWs</w:t>
      </w:r>
      <w:r w:rsidR="00A62B30" w:rsidRPr="005247BF">
        <w:t>.</w:t>
      </w:r>
      <w:r w:rsidR="00817CAA" w:rsidRPr="005247BF">
        <w:rPr>
          <w:rStyle w:val="FootnoteReference"/>
          <w:b w:val="0"/>
        </w:rPr>
        <w:footnoteReference w:id="71"/>
      </w:r>
    </w:p>
    <w:p w:rsidR="008A7E17" w:rsidRDefault="008A7E17" w:rsidP="005247BF">
      <w:pPr>
        <w:pStyle w:val="NoSpacing1"/>
        <w:tabs>
          <w:tab w:val="left" w:pos="1080"/>
        </w:tabs>
        <w:ind w:left="1080"/>
        <w:jc w:val="both"/>
        <w:rPr>
          <w:rFonts w:ascii="Tahoma" w:hAnsi="Tahoma" w:cs="Tahoma"/>
          <w:b/>
          <w:color w:val="000000" w:themeColor="text1"/>
          <w:sz w:val="24"/>
          <w:szCs w:val="24"/>
        </w:rPr>
      </w:pPr>
    </w:p>
    <w:p w:rsidR="008A7E17" w:rsidRDefault="00670CEC" w:rsidP="005247BF">
      <w:pPr>
        <w:pStyle w:val="Heading2"/>
        <w:rPr>
          <w:b/>
        </w:rPr>
      </w:pPr>
      <w:r>
        <w:t xml:space="preserve">The Bureau shall exercise supervision and control over </w:t>
      </w:r>
      <w:r w:rsidRPr="007E053F">
        <w:t xml:space="preserve">customs warehouses </w:t>
      </w:r>
      <w:r>
        <w:t>and the same shall, for all intents and purposes, be considered as extension of the customs zone insofar as the dutiable goods stored and introduced therein are concerned.</w:t>
      </w:r>
    </w:p>
    <w:p w:rsidR="008A7E17" w:rsidRDefault="008A7E17" w:rsidP="005247BF">
      <w:pPr>
        <w:pStyle w:val="NoSpacing1"/>
        <w:numPr>
          <w:ilvl w:val="255"/>
          <w:numId w:val="0"/>
        </w:numPr>
        <w:tabs>
          <w:tab w:val="left" w:pos="1080"/>
          <w:tab w:val="left" w:pos="1760"/>
        </w:tabs>
        <w:ind w:leftChars="600" w:left="1320"/>
        <w:jc w:val="both"/>
        <w:rPr>
          <w:rFonts w:ascii="Tahoma" w:hAnsi="Tahoma" w:cs="Tahoma"/>
          <w:b/>
          <w:color w:val="000000" w:themeColor="text1"/>
          <w:sz w:val="24"/>
          <w:szCs w:val="24"/>
        </w:rPr>
      </w:pPr>
    </w:p>
    <w:p w:rsidR="008A7E17" w:rsidRPr="00EB0364" w:rsidRDefault="00670CEC" w:rsidP="005247BF">
      <w:pPr>
        <w:pStyle w:val="Heading2"/>
      </w:pPr>
      <w:r>
        <w:t>The Bureau however, shall not be liable for any loss or damage of the goods stored in any customs warehouse.</w:t>
      </w:r>
    </w:p>
    <w:p w:rsidR="008A7E17" w:rsidRPr="005247BF" w:rsidRDefault="00BC3A5E" w:rsidP="005247BF">
      <w:pPr>
        <w:pStyle w:val="Heading1"/>
        <w:rPr>
          <w:b w:val="0"/>
        </w:rPr>
      </w:pPr>
      <w:r w:rsidRPr="005247BF">
        <w:rPr>
          <w:u w:val="single"/>
        </w:rPr>
        <w:t>Issuance of Customs Memorandum Order</w:t>
      </w:r>
      <w:r w:rsidRPr="00A3264D">
        <w:t xml:space="preserve">. </w:t>
      </w:r>
      <w:r w:rsidRPr="005247BF">
        <w:rPr>
          <w:b w:val="0"/>
        </w:rPr>
        <w:t>The Commissioner shall</w:t>
      </w:r>
      <w:r w:rsidR="00AB6B05" w:rsidRPr="005247BF">
        <w:rPr>
          <w:b w:val="0"/>
        </w:rPr>
        <w:t xml:space="preserve"> issue the necessary </w:t>
      </w:r>
      <w:r w:rsidR="009557C3" w:rsidRPr="005247BF">
        <w:rPr>
          <w:b w:val="0"/>
        </w:rPr>
        <w:t>CMO</w:t>
      </w:r>
      <w:r w:rsidR="00AB6B05" w:rsidRPr="005247BF">
        <w:rPr>
          <w:b w:val="0"/>
        </w:rPr>
        <w:t xml:space="preserve"> containing the detailed guidelines and procedures for the effective implementation of this </w:t>
      </w:r>
      <w:r w:rsidR="00CA53F9" w:rsidRPr="005247BF">
        <w:rPr>
          <w:b w:val="0"/>
        </w:rPr>
        <w:t>CAO</w:t>
      </w:r>
      <w:r w:rsidR="00AB6B05" w:rsidRPr="005247BF">
        <w:rPr>
          <w:b w:val="0"/>
        </w:rPr>
        <w:t xml:space="preserve">. </w:t>
      </w:r>
    </w:p>
    <w:p w:rsidR="005B1BA6" w:rsidRPr="005247BF" w:rsidRDefault="00670CEC" w:rsidP="005247BF">
      <w:pPr>
        <w:pStyle w:val="Heading1"/>
        <w:rPr>
          <w:b w:val="0"/>
        </w:rPr>
      </w:pPr>
      <w:r w:rsidRPr="005247BF">
        <w:rPr>
          <w:u w:val="single"/>
        </w:rPr>
        <w:t>Non-impairment Clause</w:t>
      </w:r>
      <w:r w:rsidRPr="00A3264D">
        <w:t xml:space="preserve">. </w:t>
      </w:r>
      <w:r w:rsidRPr="005247BF">
        <w:rPr>
          <w:b w:val="0"/>
        </w:rPr>
        <w:t xml:space="preserve">Any existing contracts of private operators with concerned government agencies and regulatory bodies, such as but not limited to the Philippine Ports Authority (PPA), Subic Bay Metropolitan Authority (SBMA), </w:t>
      </w:r>
      <w:proofErr w:type="spellStart"/>
      <w:r w:rsidRPr="005247BF">
        <w:rPr>
          <w:b w:val="0"/>
        </w:rPr>
        <w:t>Phividec</w:t>
      </w:r>
      <w:proofErr w:type="spellEnd"/>
      <w:r w:rsidRPr="005247BF">
        <w:rPr>
          <w:b w:val="0"/>
        </w:rPr>
        <w:t xml:space="preserve"> Industrial Authority (PIA) and their respective affiliates and subsidiaries, including the powers and privileges already granted by virtue of such contracts, shall not be impaired or adversely affected thereby.</w:t>
      </w:r>
    </w:p>
    <w:p w:rsidR="008A7E17" w:rsidRPr="00724334" w:rsidRDefault="00670CEC" w:rsidP="005247BF">
      <w:pPr>
        <w:pStyle w:val="Heading1"/>
      </w:pPr>
      <w:r w:rsidRPr="005247BF">
        <w:rPr>
          <w:u w:val="single"/>
        </w:rPr>
        <w:t>Transitory Provisions</w:t>
      </w:r>
      <w:r w:rsidRPr="005247BF">
        <w:t xml:space="preserve">. </w:t>
      </w:r>
      <w:r w:rsidRPr="005247BF">
        <w:rPr>
          <w:b w:val="0"/>
        </w:rPr>
        <w:t xml:space="preserve">The Commissioner shall, without prejudice to all the rights, conditions, and obligations already acquired or vested prior to the effectivity of this </w:t>
      </w:r>
      <w:r w:rsidR="000B6050" w:rsidRPr="005247BF">
        <w:rPr>
          <w:b w:val="0"/>
        </w:rPr>
        <w:t>CAO</w:t>
      </w:r>
      <w:r w:rsidRPr="005247BF">
        <w:rPr>
          <w:b w:val="0"/>
        </w:rPr>
        <w:t xml:space="preserve">, cause the re-evaluation, reclassification and reorganization of all existing customs warehouses and facilities to ensure compliance with the requirements and conditions specified in this </w:t>
      </w:r>
      <w:r w:rsidR="000B6050" w:rsidRPr="005247BF">
        <w:rPr>
          <w:b w:val="0"/>
        </w:rPr>
        <w:t>CAO</w:t>
      </w:r>
      <w:r w:rsidRPr="005247BF">
        <w:rPr>
          <w:b w:val="0"/>
        </w:rPr>
        <w:t>.</w:t>
      </w:r>
      <w:r w:rsidRPr="00EB0364">
        <w:t xml:space="preserve">    </w:t>
      </w:r>
    </w:p>
    <w:p w:rsidR="008A7E17" w:rsidRDefault="008A7E17" w:rsidP="005247BF">
      <w:pPr>
        <w:pStyle w:val="Tabletext"/>
        <w:tabs>
          <w:tab w:val="left" w:pos="1080"/>
        </w:tabs>
        <w:spacing w:line="240" w:lineRule="auto"/>
        <w:ind w:firstLine="720"/>
        <w:jc w:val="both"/>
        <w:rPr>
          <w:rFonts w:ascii="Tahoma" w:hAnsi="Tahoma" w:cs="Tahoma"/>
          <w:color w:val="000000" w:themeColor="text1"/>
          <w:sz w:val="24"/>
          <w:szCs w:val="24"/>
        </w:rPr>
      </w:pPr>
    </w:p>
    <w:p w:rsidR="00A97090" w:rsidRDefault="00670CEC" w:rsidP="005247BF">
      <w:pPr>
        <w:pStyle w:val="Tabletext"/>
        <w:tabs>
          <w:tab w:val="left" w:pos="1080"/>
        </w:tabs>
        <w:spacing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This </w:t>
      </w:r>
      <w:r w:rsidR="002D3C27">
        <w:rPr>
          <w:rFonts w:ascii="Tahoma" w:hAnsi="Tahoma" w:cs="Tahoma"/>
          <w:color w:val="000000" w:themeColor="text1"/>
          <w:sz w:val="24"/>
          <w:szCs w:val="24"/>
        </w:rPr>
        <w:t>notwithstanding,</w:t>
      </w:r>
      <w:r w:rsidR="002D3C27" w:rsidRPr="007E053F">
        <w:rPr>
          <w:rFonts w:ascii="Tahoma" w:hAnsi="Tahoma" w:cs="Tahoma"/>
          <w:sz w:val="24"/>
          <w:szCs w:val="24"/>
        </w:rPr>
        <w:t xml:space="preserve"> customs</w:t>
      </w:r>
      <w:r w:rsidRPr="007E053F">
        <w:rPr>
          <w:rFonts w:ascii="Tahoma" w:hAnsi="Tahoma" w:cs="Tahoma"/>
          <w:sz w:val="24"/>
          <w:szCs w:val="24"/>
        </w:rPr>
        <w:t xml:space="preserve"> warehouses</w:t>
      </w:r>
      <w:r>
        <w:rPr>
          <w:rFonts w:ascii="Tahoma" w:hAnsi="Tahoma" w:cs="Tahoma"/>
          <w:color w:val="000000" w:themeColor="text1"/>
          <w:sz w:val="24"/>
          <w:szCs w:val="24"/>
        </w:rPr>
        <w:t xml:space="preserve"> already existing and given authority to operate by the Bureau prior to the effectivity of this </w:t>
      </w:r>
      <w:r w:rsidR="000B6050">
        <w:rPr>
          <w:rFonts w:ascii="Tahoma" w:hAnsi="Tahoma" w:cs="Tahoma"/>
          <w:color w:val="000000" w:themeColor="text1"/>
          <w:sz w:val="24"/>
          <w:szCs w:val="24"/>
        </w:rPr>
        <w:t xml:space="preserve">CAO </w:t>
      </w:r>
      <w:r>
        <w:rPr>
          <w:rFonts w:ascii="Tahoma" w:hAnsi="Tahoma" w:cs="Tahoma"/>
          <w:color w:val="000000" w:themeColor="text1"/>
          <w:sz w:val="24"/>
          <w:szCs w:val="24"/>
        </w:rPr>
        <w:t xml:space="preserve">are required to comply with all the administrative and reportorial requirements set forth in this </w:t>
      </w:r>
      <w:r w:rsidR="000B6050">
        <w:rPr>
          <w:rFonts w:ascii="Tahoma" w:hAnsi="Tahoma" w:cs="Tahoma"/>
          <w:color w:val="000000" w:themeColor="text1"/>
          <w:sz w:val="24"/>
          <w:szCs w:val="24"/>
        </w:rPr>
        <w:t xml:space="preserve">CAO </w:t>
      </w:r>
      <w:r>
        <w:rPr>
          <w:rFonts w:ascii="Tahoma" w:hAnsi="Tahoma" w:cs="Tahoma"/>
          <w:color w:val="000000" w:themeColor="text1"/>
          <w:sz w:val="24"/>
          <w:szCs w:val="24"/>
        </w:rPr>
        <w:t xml:space="preserve">on or before </w:t>
      </w:r>
      <w:r w:rsidR="00FB1BB8">
        <w:rPr>
          <w:rFonts w:ascii="Tahoma" w:hAnsi="Tahoma" w:cs="Tahoma"/>
          <w:color w:val="000000" w:themeColor="text1"/>
          <w:sz w:val="24"/>
          <w:szCs w:val="24"/>
        </w:rPr>
        <w:t>December</w:t>
      </w:r>
      <w:r w:rsidR="00FB1BB8">
        <w:rPr>
          <w:rFonts w:ascii="Tahoma" w:hAnsi="Tahoma" w:cs="Tahoma"/>
          <w:color w:val="000000" w:themeColor="text1"/>
          <w:sz w:val="24"/>
          <w:szCs w:val="24"/>
        </w:rPr>
        <w:t xml:space="preserve"> </w:t>
      </w:r>
      <w:r w:rsidR="00FB1BB8">
        <w:rPr>
          <w:rFonts w:ascii="Tahoma" w:hAnsi="Tahoma" w:cs="Tahoma"/>
          <w:color w:val="000000" w:themeColor="text1"/>
          <w:sz w:val="24"/>
          <w:szCs w:val="24"/>
        </w:rPr>
        <w:t>3</w:t>
      </w:r>
      <w:r>
        <w:rPr>
          <w:rFonts w:ascii="Tahoma" w:hAnsi="Tahoma" w:cs="Tahoma"/>
          <w:color w:val="000000" w:themeColor="text1"/>
          <w:sz w:val="24"/>
          <w:szCs w:val="24"/>
        </w:rPr>
        <w:t>1, 2017.</w:t>
      </w:r>
    </w:p>
    <w:p w:rsidR="00A97090" w:rsidRPr="005247BF" w:rsidRDefault="00A97090" w:rsidP="005247BF">
      <w:pPr>
        <w:pStyle w:val="Heading1"/>
        <w:rPr>
          <w:b w:val="0"/>
        </w:rPr>
      </w:pPr>
      <w:r w:rsidRPr="005247BF">
        <w:rPr>
          <w:u w:val="single"/>
        </w:rPr>
        <w:lastRenderedPageBreak/>
        <w:t>Periodic Review</w:t>
      </w:r>
      <w:r w:rsidRPr="005247BF">
        <w:t>.</w:t>
      </w:r>
      <w:r w:rsidRPr="005247BF">
        <w:rPr>
          <w:b w:val="0"/>
        </w:rPr>
        <w:t xml:space="preserve"> Unless otherwise provided, this CAO shall be reviewed every three (3) years and be amended or revised, if necessary.</w:t>
      </w:r>
    </w:p>
    <w:p w:rsidR="00A97090" w:rsidRPr="005247BF" w:rsidRDefault="00A97090" w:rsidP="005247BF">
      <w:pPr>
        <w:pStyle w:val="Heading1"/>
        <w:rPr>
          <w:b w:val="0"/>
        </w:rPr>
      </w:pPr>
      <w:r w:rsidRPr="005247BF">
        <w:rPr>
          <w:color w:val="000000" w:themeColor="text1"/>
          <w:u w:val="single"/>
        </w:rPr>
        <w:t>Repealing Clause</w:t>
      </w:r>
      <w:r w:rsidRPr="005247BF">
        <w:rPr>
          <w:color w:val="000000" w:themeColor="text1"/>
        </w:rPr>
        <w:t>.</w:t>
      </w:r>
      <w:r w:rsidRPr="005247BF">
        <w:rPr>
          <w:b w:val="0"/>
          <w:color w:val="000000" w:themeColor="text1"/>
        </w:rPr>
        <w:t xml:space="preserve"> </w:t>
      </w:r>
      <w:r w:rsidRPr="005247BF">
        <w:rPr>
          <w:b w:val="0"/>
        </w:rPr>
        <w:t>This CAO specifically amends or repeals previously issued CAOs and CMOs which are inconsistent with the provisions therein.</w:t>
      </w:r>
    </w:p>
    <w:p w:rsidR="00A97090" w:rsidRPr="005247BF" w:rsidRDefault="00A97090" w:rsidP="005247BF">
      <w:pPr>
        <w:pStyle w:val="Heading1"/>
        <w:rPr>
          <w:b w:val="0"/>
        </w:rPr>
      </w:pPr>
      <w:proofErr w:type="spellStart"/>
      <w:r w:rsidRPr="005247BF">
        <w:rPr>
          <w:u w:val="single"/>
        </w:rPr>
        <w:t>Separability</w:t>
      </w:r>
      <w:proofErr w:type="spellEnd"/>
      <w:r w:rsidRPr="005247BF">
        <w:rPr>
          <w:u w:val="single"/>
        </w:rPr>
        <w:t xml:space="preserve"> Clause</w:t>
      </w:r>
      <w:r w:rsidRPr="005247BF">
        <w:t>.</w:t>
      </w:r>
      <w:r w:rsidRPr="005247BF">
        <w:rPr>
          <w:b w:val="0"/>
        </w:rPr>
        <w:t xml:space="preserve"> If any part of this CAO is declared unconstitutional or contrary to existing laws, other parts not so declared shall remain in full force or effect.</w:t>
      </w:r>
    </w:p>
    <w:p w:rsidR="008A7E17" w:rsidRPr="005247BF" w:rsidRDefault="00A97090" w:rsidP="005247BF">
      <w:pPr>
        <w:pStyle w:val="Heading1"/>
        <w:rPr>
          <w:b w:val="0"/>
        </w:rPr>
      </w:pPr>
      <w:r w:rsidRPr="005247BF">
        <w:rPr>
          <w:u w:val="single"/>
        </w:rPr>
        <w:t>Effectivity</w:t>
      </w:r>
      <w:r w:rsidRPr="005247BF">
        <w:t>.</w:t>
      </w:r>
      <w:r w:rsidRPr="005247BF">
        <w:rPr>
          <w:b w:val="0"/>
        </w:rPr>
        <w:t xml:space="preserve"> This CAO shall take effect after fifteen (15) days after its publication at the Official Gazette or a newspaper of national circulation.</w:t>
      </w:r>
    </w:p>
    <w:p w:rsidR="00A97090" w:rsidRPr="005247BF" w:rsidRDefault="00A97090" w:rsidP="00A3264D">
      <w:pPr>
        <w:pStyle w:val="Heading1"/>
        <w:numPr>
          <w:ilvl w:val="0"/>
          <w:numId w:val="0"/>
        </w:numPr>
        <w:rPr>
          <w:b w:val="0"/>
        </w:rPr>
      </w:pPr>
      <w:r w:rsidRPr="005247BF">
        <w:rPr>
          <w:b w:val="0"/>
        </w:rPr>
        <w:t>The Office of National Administrative Register (ONAR) of the UP Law center shall be provided three (3) certified copies of this CAO.</w:t>
      </w:r>
    </w:p>
    <w:p w:rsidR="00A97090" w:rsidRDefault="00A97090" w:rsidP="005247BF">
      <w:pPr>
        <w:pStyle w:val="Tabletext"/>
        <w:tabs>
          <w:tab w:val="left" w:pos="1080"/>
        </w:tabs>
        <w:spacing w:line="240" w:lineRule="auto"/>
        <w:jc w:val="both"/>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670CEC" w:rsidP="005247BF">
      <w:pPr>
        <w:pStyle w:val="NoSpacing1"/>
        <w:tabs>
          <w:tab w:val="left" w:pos="1080"/>
        </w:tabs>
        <w:jc w:val="both"/>
        <w:rPr>
          <w:rFonts w:ascii="Tahoma" w:hAnsi="Tahoma" w:cs="Tahoma"/>
          <w:b/>
          <w:color w:val="000000" w:themeColor="text1"/>
          <w:sz w:val="24"/>
          <w:szCs w:val="24"/>
        </w:rPr>
      </w:pPr>
      <w:r>
        <w:rPr>
          <w:rFonts w:ascii="Tahoma" w:hAnsi="Tahoma" w:cs="Tahoma"/>
          <w:b/>
          <w:color w:val="000000" w:themeColor="text1"/>
          <w:sz w:val="24"/>
          <w:szCs w:val="24"/>
        </w:rPr>
        <w:t>NICANOR E. FAELDON</w:t>
      </w:r>
    </w:p>
    <w:p w:rsidR="008A7E17" w:rsidRDefault="00670CEC" w:rsidP="005247BF">
      <w:pPr>
        <w:pStyle w:val="NoSpacing1"/>
        <w:tabs>
          <w:tab w:val="left" w:pos="1080"/>
        </w:tabs>
        <w:jc w:val="both"/>
        <w:rPr>
          <w:rFonts w:ascii="Tahoma" w:hAnsi="Tahoma" w:cs="Tahoma"/>
          <w:color w:val="000000" w:themeColor="text1"/>
          <w:sz w:val="24"/>
          <w:szCs w:val="24"/>
        </w:rPr>
      </w:pPr>
      <w:r>
        <w:rPr>
          <w:rFonts w:ascii="Tahoma" w:hAnsi="Tahoma" w:cs="Tahoma"/>
          <w:color w:val="000000" w:themeColor="text1"/>
          <w:sz w:val="24"/>
          <w:szCs w:val="24"/>
        </w:rPr>
        <w:t>Commissioner of Customs</w:t>
      </w:r>
    </w:p>
    <w:p w:rsidR="008A7E17" w:rsidRDefault="00670CEC" w:rsidP="005247BF">
      <w:pPr>
        <w:pStyle w:val="NoSpacing1"/>
        <w:tabs>
          <w:tab w:val="left" w:pos="1080"/>
        </w:tabs>
        <w:jc w:val="both"/>
        <w:rPr>
          <w:rFonts w:ascii="Tahoma" w:hAnsi="Tahoma" w:cs="Tahoma"/>
          <w:color w:val="000000" w:themeColor="text1"/>
          <w:sz w:val="24"/>
          <w:szCs w:val="24"/>
        </w:rPr>
      </w:pPr>
      <w:r>
        <w:rPr>
          <w:rFonts w:ascii="Tahoma" w:hAnsi="Tahoma" w:cs="Tahoma"/>
          <w:color w:val="000000" w:themeColor="text1"/>
          <w:sz w:val="24"/>
          <w:szCs w:val="24"/>
        </w:rPr>
        <w:tab/>
      </w:r>
      <w:r>
        <w:rPr>
          <w:rFonts w:ascii="Tahoma" w:hAnsi="Tahoma" w:cs="Tahoma"/>
          <w:color w:val="000000" w:themeColor="text1"/>
          <w:sz w:val="24"/>
          <w:szCs w:val="24"/>
        </w:rPr>
        <w:tab/>
      </w:r>
      <w:r>
        <w:rPr>
          <w:rFonts w:ascii="Tahoma" w:hAnsi="Tahoma" w:cs="Tahoma"/>
          <w:color w:val="000000" w:themeColor="text1"/>
          <w:sz w:val="24"/>
          <w:szCs w:val="24"/>
        </w:rPr>
        <w:tab/>
      </w: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670CEC" w:rsidP="005247BF">
      <w:pPr>
        <w:pStyle w:val="NoSpacing1"/>
        <w:tabs>
          <w:tab w:val="left" w:pos="1080"/>
        </w:tabs>
        <w:jc w:val="both"/>
        <w:rPr>
          <w:rFonts w:ascii="Tahoma" w:hAnsi="Tahoma" w:cs="Tahoma"/>
          <w:color w:val="000000" w:themeColor="text1"/>
          <w:sz w:val="24"/>
          <w:szCs w:val="24"/>
        </w:rPr>
      </w:pPr>
      <w:r>
        <w:rPr>
          <w:rFonts w:ascii="Tahoma" w:hAnsi="Tahoma" w:cs="Tahoma"/>
          <w:color w:val="000000" w:themeColor="text1"/>
          <w:sz w:val="24"/>
          <w:szCs w:val="24"/>
        </w:rPr>
        <w:t>Approved:</w:t>
      </w: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8A7E17" w:rsidP="005247BF">
      <w:pPr>
        <w:pStyle w:val="NoSpacing1"/>
        <w:tabs>
          <w:tab w:val="left" w:pos="1080"/>
        </w:tabs>
        <w:jc w:val="both"/>
        <w:rPr>
          <w:rFonts w:ascii="Tahoma" w:hAnsi="Tahoma" w:cs="Tahoma"/>
          <w:color w:val="000000" w:themeColor="text1"/>
          <w:sz w:val="24"/>
          <w:szCs w:val="24"/>
        </w:rPr>
      </w:pPr>
    </w:p>
    <w:p w:rsidR="008A7E17" w:rsidRDefault="00670CEC" w:rsidP="005247BF">
      <w:pPr>
        <w:pStyle w:val="NoSpacing1"/>
        <w:tabs>
          <w:tab w:val="left" w:pos="1080"/>
        </w:tabs>
        <w:jc w:val="both"/>
        <w:rPr>
          <w:rFonts w:ascii="Tahoma" w:hAnsi="Tahoma" w:cs="Tahoma"/>
          <w:b/>
          <w:color w:val="000000" w:themeColor="text1"/>
          <w:sz w:val="24"/>
          <w:szCs w:val="24"/>
        </w:rPr>
      </w:pPr>
      <w:r>
        <w:rPr>
          <w:rFonts w:ascii="Tahoma" w:hAnsi="Tahoma" w:cs="Tahoma"/>
          <w:b/>
          <w:color w:val="000000" w:themeColor="text1"/>
          <w:sz w:val="24"/>
          <w:szCs w:val="24"/>
        </w:rPr>
        <w:t>CARLOS G. DOMINGUEZ</w:t>
      </w:r>
    </w:p>
    <w:p w:rsidR="008A7E17" w:rsidRDefault="00670CEC" w:rsidP="005247BF">
      <w:pPr>
        <w:pStyle w:val="NoSpacing1"/>
        <w:tabs>
          <w:tab w:val="left" w:pos="1080"/>
        </w:tabs>
        <w:jc w:val="both"/>
        <w:rPr>
          <w:rFonts w:ascii="Tahoma" w:hAnsi="Tahoma" w:cs="Tahoma"/>
          <w:color w:val="000000" w:themeColor="text1"/>
          <w:sz w:val="24"/>
          <w:szCs w:val="24"/>
        </w:rPr>
      </w:pPr>
      <w:r>
        <w:rPr>
          <w:rFonts w:ascii="Tahoma" w:hAnsi="Tahoma" w:cs="Tahoma"/>
          <w:color w:val="000000" w:themeColor="text1"/>
          <w:sz w:val="24"/>
          <w:szCs w:val="24"/>
        </w:rPr>
        <w:t>Secretary of Finance</w:t>
      </w:r>
    </w:p>
    <w:p w:rsidR="008A7E17" w:rsidRDefault="008A7E17" w:rsidP="005247BF">
      <w:pPr>
        <w:tabs>
          <w:tab w:val="left" w:pos="1080"/>
        </w:tabs>
        <w:spacing w:after="0" w:line="240" w:lineRule="auto"/>
        <w:jc w:val="both"/>
        <w:rPr>
          <w:color w:val="000000" w:themeColor="text1"/>
        </w:rPr>
      </w:pPr>
    </w:p>
    <w:p w:rsidR="008A7E17" w:rsidRDefault="008A7E17" w:rsidP="005247BF">
      <w:pPr>
        <w:tabs>
          <w:tab w:val="left" w:pos="1080"/>
        </w:tabs>
        <w:spacing w:after="0" w:line="240" w:lineRule="auto"/>
        <w:jc w:val="both"/>
        <w:rPr>
          <w:color w:val="000000" w:themeColor="text1"/>
        </w:rPr>
      </w:pPr>
    </w:p>
    <w:p w:rsidR="008A7E17" w:rsidRDefault="008A7E17" w:rsidP="005247BF">
      <w:pPr>
        <w:tabs>
          <w:tab w:val="left" w:pos="1080"/>
        </w:tabs>
        <w:spacing w:after="0" w:line="240" w:lineRule="auto"/>
        <w:jc w:val="both"/>
        <w:rPr>
          <w:color w:val="000000" w:themeColor="text1"/>
        </w:rPr>
      </w:pPr>
    </w:p>
    <w:p w:rsidR="008A7E17" w:rsidRDefault="008A7E17" w:rsidP="005247BF">
      <w:pPr>
        <w:tabs>
          <w:tab w:val="left" w:pos="1080"/>
        </w:tabs>
        <w:spacing w:after="0" w:line="240" w:lineRule="auto"/>
        <w:jc w:val="both"/>
        <w:rPr>
          <w:color w:val="000000" w:themeColor="text1"/>
        </w:rPr>
      </w:pPr>
    </w:p>
    <w:p w:rsidR="008A7E17" w:rsidRDefault="00670CEC" w:rsidP="005247BF">
      <w:pPr>
        <w:tabs>
          <w:tab w:val="left" w:pos="1080"/>
        </w:tabs>
        <w:spacing w:line="240" w:lineRule="auto"/>
        <w:ind w:right="78"/>
        <w:jc w:val="both"/>
        <w:rPr>
          <w:rFonts w:ascii="Tahoma" w:hAnsi="Tahoma" w:cs="Tahoma"/>
          <w:sz w:val="24"/>
          <w:szCs w:val="24"/>
        </w:rPr>
      </w:pPr>
      <w:r>
        <w:rPr>
          <w:rFonts w:ascii="Tahoma" w:hAnsi="Tahoma" w:cs="Tahoma"/>
          <w:b/>
          <w:sz w:val="24"/>
          <w:szCs w:val="24"/>
        </w:rPr>
        <w:t xml:space="preserve">Informational Section. </w:t>
      </w:r>
      <w:r>
        <w:rPr>
          <w:rFonts w:ascii="Tahoma" w:hAnsi="Tahoma" w:cs="Tahoma"/>
          <w:sz w:val="24"/>
          <w:szCs w:val="24"/>
        </w:rPr>
        <w:t>As the title denotes this section only provides information and does not give rise to any substantive or formal rights or obligations.</w:t>
      </w:r>
    </w:p>
    <w:p w:rsidR="008A7E17" w:rsidRDefault="00670CEC" w:rsidP="005247BF">
      <w:pPr>
        <w:pStyle w:val="ListParagraph2"/>
        <w:numPr>
          <w:ilvl w:val="0"/>
          <w:numId w:val="21"/>
        </w:numPr>
        <w:tabs>
          <w:tab w:val="left" w:pos="1080"/>
        </w:tabs>
        <w:spacing w:line="240" w:lineRule="auto"/>
        <w:ind w:right="78"/>
        <w:jc w:val="both"/>
        <w:rPr>
          <w:rFonts w:ascii="Tahoma" w:hAnsi="Tahoma" w:cs="Tahoma"/>
          <w:sz w:val="24"/>
          <w:szCs w:val="24"/>
        </w:rPr>
      </w:pPr>
      <w:r>
        <w:rPr>
          <w:rFonts w:ascii="Tahoma" w:hAnsi="Tahoma" w:cs="Tahoma"/>
          <w:b/>
          <w:sz w:val="24"/>
          <w:szCs w:val="24"/>
          <w:u w:val="single"/>
        </w:rPr>
        <w:t>History</w:t>
      </w:r>
      <w:r>
        <w:rPr>
          <w:rFonts w:ascii="Tahoma" w:hAnsi="Tahoma" w:cs="Tahoma"/>
          <w:b/>
          <w:sz w:val="24"/>
          <w:szCs w:val="24"/>
        </w:rPr>
        <w:t>.</w:t>
      </w:r>
      <w:r>
        <w:rPr>
          <w:rFonts w:ascii="Tahoma" w:hAnsi="Tahoma" w:cs="Tahoma"/>
          <w:sz w:val="24"/>
          <w:szCs w:val="24"/>
        </w:rPr>
        <w:t xml:space="preserve"> </w:t>
      </w:r>
    </w:p>
    <w:p w:rsidR="00B066A7" w:rsidRDefault="00B066A7" w:rsidP="005247BF">
      <w:pPr>
        <w:pStyle w:val="ListParagraph2"/>
        <w:tabs>
          <w:tab w:val="left" w:pos="1080"/>
        </w:tabs>
        <w:spacing w:line="240" w:lineRule="auto"/>
        <w:ind w:right="78"/>
        <w:jc w:val="both"/>
        <w:rPr>
          <w:rFonts w:ascii="Tahoma" w:hAnsi="Tahoma" w:cs="Tahoma"/>
          <w:sz w:val="24"/>
          <w:szCs w:val="24"/>
        </w:rPr>
      </w:pPr>
    </w:p>
    <w:p w:rsidR="005B1BA6" w:rsidRDefault="005B1BA6" w:rsidP="005247BF">
      <w:pPr>
        <w:pStyle w:val="ListParagraph2"/>
        <w:numPr>
          <w:ilvl w:val="1"/>
          <w:numId w:val="57"/>
        </w:numPr>
        <w:tabs>
          <w:tab w:val="left" w:pos="1080"/>
        </w:tabs>
        <w:spacing w:line="240" w:lineRule="auto"/>
        <w:ind w:right="78"/>
        <w:jc w:val="both"/>
        <w:rPr>
          <w:rFonts w:ascii="Tahoma" w:hAnsi="Tahoma" w:cs="Tahoma"/>
          <w:sz w:val="24"/>
          <w:szCs w:val="24"/>
        </w:rPr>
      </w:pPr>
      <w:r>
        <w:rPr>
          <w:rFonts w:ascii="Tahoma" w:hAnsi="Tahoma" w:cs="Tahoma"/>
          <w:sz w:val="24"/>
          <w:szCs w:val="24"/>
        </w:rPr>
        <w:t>CMO No. 32-2015</w:t>
      </w:r>
      <w:r w:rsidR="00602386">
        <w:rPr>
          <w:rFonts w:ascii="Tahoma" w:hAnsi="Tahoma" w:cs="Tahoma"/>
          <w:sz w:val="24"/>
          <w:szCs w:val="24"/>
        </w:rPr>
        <w:t>.</w:t>
      </w:r>
      <w:r w:rsidR="00C67499" w:rsidRPr="00C67499">
        <w:rPr>
          <w:rFonts w:ascii="Tahoma" w:hAnsi="Tahoma" w:cs="Tahoma"/>
          <w:sz w:val="24"/>
          <w:szCs w:val="24"/>
        </w:rPr>
        <w:t xml:space="preserve"> </w:t>
      </w:r>
      <w:r w:rsidR="00C67499">
        <w:rPr>
          <w:rFonts w:ascii="Tahoma" w:hAnsi="Tahoma" w:cs="Tahoma"/>
          <w:sz w:val="24"/>
          <w:szCs w:val="24"/>
        </w:rPr>
        <w:t>Revised Rules and Regulations for the Establishment, Supervision and Control of Off-Dock Container Yards and Container Freight Stations (OCC) and other Off-Dock Customs Facilities (OCF) outside of the Customs Zone</w:t>
      </w:r>
    </w:p>
    <w:p w:rsidR="00561725" w:rsidRDefault="00561725" w:rsidP="005247BF">
      <w:pPr>
        <w:pStyle w:val="ListParagraph2"/>
        <w:tabs>
          <w:tab w:val="left" w:pos="1080"/>
        </w:tabs>
        <w:spacing w:line="240" w:lineRule="auto"/>
        <w:ind w:left="1440" w:right="78"/>
        <w:jc w:val="both"/>
        <w:rPr>
          <w:rFonts w:ascii="Tahoma" w:hAnsi="Tahoma" w:cs="Tahoma"/>
          <w:sz w:val="24"/>
          <w:szCs w:val="24"/>
        </w:rPr>
      </w:pPr>
    </w:p>
    <w:p w:rsidR="005B1BA6" w:rsidRPr="005247BF" w:rsidRDefault="005B1BA6" w:rsidP="005247BF">
      <w:pPr>
        <w:pStyle w:val="ListParagraph2"/>
        <w:numPr>
          <w:ilvl w:val="1"/>
          <w:numId w:val="57"/>
        </w:numPr>
        <w:tabs>
          <w:tab w:val="left" w:pos="1080"/>
        </w:tabs>
        <w:spacing w:line="240" w:lineRule="auto"/>
        <w:ind w:right="78"/>
        <w:jc w:val="both"/>
        <w:rPr>
          <w:rFonts w:ascii="Tahoma" w:hAnsi="Tahoma" w:cs="Tahoma"/>
          <w:sz w:val="24"/>
          <w:szCs w:val="24"/>
        </w:rPr>
      </w:pPr>
      <w:r w:rsidRPr="00561725">
        <w:rPr>
          <w:rFonts w:ascii="Tahoma" w:hAnsi="Tahoma" w:cs="Tahoma"/>
          <w:sz w:val="24"/>
          <w:szCs w:val="24"/>
        </w:rPr>
        <w:t>CMO No. 30-2015</w:t>
      </w:r>
      <w:r w:rsidR="00347444" w:rsidRPr="00561725">
        <w:rPr>
          <w:rFonts w:ascii="Tahoma" w:hAnsi="Tahoma" w:cs="Tahoma"/>
          <w:sz w:val="24"/>
          <w:szCs w:val="24"/>
        </w:rPr>
        <w:t>.</w:t>
      </w:r>
      <w:r w:rsidR="00561725" w:rsidRPr="005247BF">
        <w:rPr>
          <w:rFonts w:ascii="Tahoma" w:hAnsi="Tahoma" w:cs="Tahoma"/>
          <w:sz w:val="24"/>
          <w:szCs w:val="24"/>
        </w:rPr>
        <w:t xml:space="preserve"> Rules and Regulations for the Establishment, Supervision and Control of Wharves, Container Yards, Container Freight  Stations, Warehouses, Examination Areas and Other facilities  with the Customs Zone, otherwise known as Authorized Customs  Facility (ACF)</w:t>
      </w:r>
    </w:p>
    <w:p w:rsidR="002B162E" w:rsidRPr="005247BF" w:rsidRDefault="002B162E" w:rsidP="005247BF">
      <w:pPr>
        <w:pStyle w:val="ListParagraph2"/>
        <w:tabs>
          <w:tab w:val="left" w:pos="1080"/>
        </w:tabs>
        <w:spacing w:line="240" w:lineRule="auto"/>
        <w:ind w:left="1440" w:right="78"/>
        <w:jc w:val="both"/>
        <w:rPr>
          <w:rFonts w:ascii="Tahoma" w:hAnsi="Tahoma" w:cs="Tahoma"/>
          <w:color w:val="FF0000"/>
          <w:sz w:val="24"/>
          <w:szCs w:val="24"/>
        </w:rPr>
      </w:pPr>
    </w:p>
    <w:p w:rsidR="00347444" w:rsidRDefault="00670CEC" w:rsidP="005247BF">
      <w:pPr>
        <w:pStyle w:val="ListParagraph2"/>
        <w:numPr>
          <w:ilvl w:val="1"/>
          <w:numId w:val="57"/>
        </w:numPr>
        <w:tabs>
          <w:tab w:val="left" w:pos="1080"/>
        </w:tabs>
        <w:spacing w:line="240" w:lineRule="auto"/>
        <w:ind w:right="78"/>
        <w:jc w:val="both"/>
        <w:rPr>
          <w:rFonts w:ascii="Tahoma" w:hAnsi="Tahoma" w:cs="Tahoma"/>
          <w:sz w:val="24"/>
          <w:szCs w:val="24"/>
        </w:rPr>
      </w:pPr>
      <w:r>
        <w:rPr>
          <w:rFonts w:ascii="Tahoma" w:hAnsi="Tahoma" w:cs="Tahoma"/>
          <w:sz w:val="24"/>
          <w:szCs w:val="24"/>
        </w:rPr>
        <w:t xml:space="preserve">CAO </w:t>
      </w:r>
      <w:r w:rsidR="002D3C27">
        <w:rPr>
          <w:rFonts w:ascii="Tahoma" w:hAnsi="Tahoma" w:cs="Tahoma"/>
          <w:sz w:val="24"/>
          <w:szCs w:val="24"/>
        </w:rPr>
        <w:t xml:space="preserve">No.  </w:t>
      </w:r>
      <w:r>
        <w:rPr>
          <w:rFonts w:ascii="Tahoma" w:hAnsi="Tahoma" w:cs="Tahoma"/>
          <w:sz w:val="24"/>
          <w:szCs w:val="24"/>
        </w:rPr>
        <w:t>1-2009</w:t>
      </w:r>
      <w:r w:rsidR="00E12788">
        <w:rPr>
          <w:rFonts w:ascii="Tahoma" w:hAnsi="Tahoma" w:cs="Tahoma"/>
          <w:sz w:val="24"/>
          <w:szCs w:val="24"/>
        </w:rPr>
        <w:t xml:space="preserve">. </w:t>
      </w:r>
      <w:r w:rsidR="00153E17">
        <w:rPr>
          <w:rFonts w:ascii="Tahoma" w:hAnsi="Tahoma" w:cs="Tahoma"/>
          <w:sz w:val="24"/>
          <w:szCs w:val="24"/>
        </w:rPr>
        <w:t>Revised Rules and Regulations for the Establishment, Operation, Supervision and Control of Customs Bonded Warehouse.</w:t>
      </w:r>
    </w:p>
    <w:p w:rsidR="00347444" w:rsidRDefault="00347444" w:rsidP="005247BF">
      <w:pPr>
        <w:pStyle w:val="ListParagraph2"/>
        <w:tabs>
          <w:tab w:val="left" w:pos="1080"/>
        </w:tabs>
        <w:spacing w:line="240" w:lineRule="auto"/>
        <w:ind w:left="1440" w:right="78"/>
        <w:jc w:val="both"/>
        <w:rPr>
          <w:rFonts w:ascii="Tahoma" w:hAnsi="Tahoma" w:cs="Tahoma"/>
          <w:sz w:val="24"/>
          <w:szCs w:val="24"/>
        </w:rPr>
      </w:pPr>
    </w:p>
    <w:p w:rsidR="008A7E17" w:rsidRDefault="00670CEC" w:rsidP="005247BF">
      <w:pPr>
        <w:pStyle w:val="ListParagraph2"/>
        <w:numPr>
          <w:ilvl w:val="1"/>
          <w:numId w:val="57"/>
        </w:numPr>
        <w:tabs>
          <w:tab w:val="left" w:pos="1080"/>
        </w:tabs>
        <w:spacing w:line="240" w:lineRule="auto"/>
        <w:ind w:right="78"/>
        <w:jc w:val="both"/>
        <w:rPr>
          <w:rFonts w:ascii="Tahoma" w:hAnsi="Tahoma" w:cs="Tahoma"/>
          <w:sz w:val="24"/>
          <w:szCs w:val="24"/>
        </w:rPr>
      </w:pPr>
      <w:r w:rsidRPr="005247BF">
        <w:rPr>
          <w:rFonts w:ascii="Tahoma" w:hAnsi="Tahoma" w:cs="Tahoma"/>
          <w:sz w:val="24"/>
          <w:szCs w:val="24"/>
        </w:rPr>
        <w:t>CMO</w:t>
      </w:r>
      <w:r w:rsidR="002D3C27" w:rsidRPr="005247BF">
        <w:rPr>
          <w:rFonts w:ascii="Tahoma" w:hAnsi="Tahoma" w:cs="Tahoma"/>
          <w:sz w:val="24"/>
          <w:szCs w:val="24"/>
        </w:rPr>
        <w:t xml:space="preserve"> No. </w:t>
      </w:r>
      <w:r w:rsidRPr="005247BF">
        <w:rPr>
          <w:rFonts w:ascii="Tahoma" w:hAnsi="Tahoma" w:cs="Tahoma"/>
          <w:sz w:val="24"/>
          <w:szCs w:val="24"/>
        </w:rPr>
        <w:t>39-91</w:t>
      </w:r>
      <w:r w:rsidR="00347444" w:rsidRPr="005247BF">
        <w:rPr>
          <w:rFonts w:ascii="Tahoma" w:hAnsi="Tahoma" w:cs="Tahoma"/>
          <w:sz w:val="24"/>
          <w:szCs w:val="24"/>
        </w:rPr>
        <w:t>.</w:t>
      </w:r>
      <w:r w:rsidR="00347444" w:rsidRPr="00347444">
        <w:t xml:space="preserve"> </w:t>
      </w:r>
      <w:r w:rsidR="00347444" w:rsidRPr="005247BF">
        <w:rPr>
          <w:rFonts w:ascii="Tahoma" w:hAnsi="Tahoma" w:cs="Tahoma"/>
          <w:sz w:val="24"/>
          <w:szCs w:val="24"/>
        </w:rPr>
        <w:t>Rules and Regulations Implementing CAO 2-91 for the establishment, supervision and control of CBW</w:t>
      </w:r>
    </w:p>
    <w:p w:rsidR="00347444" w:rsidRPr="00347444" w:rsidRDefault="00347444" w:rsidP="005247BF">
      <w:pPr>
        <w:pStyle w:val="ListParagraph2"/>
        <w:tabs>
          <w:tab w:val="left" w:pos="1080"/>
        </w:tabs>
        <w:spacing w:line="240" w:lineRule="auto"/>
        <w:ind w:left="1080" w:right="78"/>
        <w:jc w:val="both"/>
        <w:rPr>
          <w:rFonts w:ascii="Tahoma" w:hAnsi="Tahoma" w:cs="Tahoma"/>
          <w:sz w:val="24"/>
          <w:szCs w:val="24"/>
        </w:rPr>
      </w:pPr>
    </w:p>
    <w:p w:rsidR="008A7E17" w:rsidRPr="00347444" w:rsidRDefault="00670CEC" w:rsidP="005247BF">
      <w:pPr>
        <w:pStyle w:val="ListParagraph2"/>
        <w:numPr>
          <w:ilvl w:val="1"/>
          <w:numId w:val="57"/>
        </w:numPr>
        <w:tabs>
          <w:tab w:val="left" w:pos="1080"/>
        </w:tabs>
        <w:spacing w:line="240" w:lineRule="auto"/>
        <w:ind w:right="78"/>
        <w:jc w:val="both"/>
        <w:rPr>
          <w:rFonts w:ascii="Tahoma" w:hAnsi="Tahoma" w:cs="Tahoma"/>
          <w:sz w:val="24"/>
          <w:szCs w:val="24"/>
        </w:rPr>
      </w:pPr>
      <w:r w:rsidRPr="00347444">
        <w:rPr>
          <w:rFonts w:ascii="Tahoma" w:hAnsi="Tahoma" w:cs="Tahoma"/>
          <w:sz w:val="24"/>
          <w:szCs w:val="24"/>
        </w:rPr>
        <w:t xml:space="preserve">CAO </w:t>
      </w:r>
      <w:r w:rsidR="002D3C27" w:rsidRPr="00347444">
        <w:rPr>
          <w:rFonts w:ascii="Tahoma" w:hAnsi="Tahoma" w:cs="Tahoma"/>
          <w:sz w:val="24"/>
          <w:szCs w:val="24"/>
        </w:rPr>
        <w:t xml:space="preserve">No.  </w:t>
      </w:r>
      <w:r w:rsidRPr="00347444">
        <w:rPr>
          <w:rFonts w:ascii="Tahoma" w:hAnsi="Tahoma" w:cs="Tahoma"/>
          <w:sz w:val="24"/>
          <w:szCs w:val="24"/>
        </w:rPr>
        <w:t>2-91</w:t>
      </w:r>
      <w:r w:rsidR="00347444" w:rsidRPr="00347444">
        <w:rPr>
          <w:rFonts w:ascii="Tahoma" w:hAnsi="Tahoma" w:cs="Tahoma"/>
          <w:sz w:val="24"/>
          <w:szCs w:val="24"/>
        </w:rPr>
        <w:t>.</w:t>
      </w:r>
      <w:r w:rsidR="00347444" w:rsidRPr="005247BF">
        <w:rPr>
          <w:rFonts w:ascii="Tahoma" w:hAnsi="Tahoma" w:cs="Tahoma"/>
          <w:sz w:val="24"/>
          <w:szCs w:val="24"/>
        </w:rPr>
        <w:t xml:space="preserve"> Role and Regulation for the establishment, operation, Supervision and control of CBW</w:t>
      </w:r>
    </w:p>
    <w:p w:rsidR="008A7E17" w:rsidRDefault="008A7E17" w:rsidP="005247BF">
      <w:pPr>
        <w:pStyle w:val="ListParagraph2"/>
        <w:tabs>
          <w:tab w:val="left" w:pos="1080"/>
        </w:tabs>
        <w:spacing w:line="240" w:lineRule="auto"/>
        <w:ind w:left="400" w:right="78"/>
        <w:jc w:val="both"/>
        <w:rPr>
          <w:rFonts w:ascii="Tahoma" w:hAnsi="Tahoma" w:cs="Tahoma"/>
          <w:sz w:val="24"/>
          <w:szCs w:val="24"/>
        </w:rPr>
      </w:pPr>
    </w:p>
    <w:p w:rsidR="008A7E17" w:rsidRDefault="00670CEC" w:rsidP="005247BF">
      <w:pPr>
        <w:pStyle w:val="ListParagraph2"/>
        <w:numPr>
          <w:ilvl w:val="0"/>
          <w:numId w:val="21"/>
        </w:numPr>
        <w:tabs>
          <w:tab w:val="left" w:pos="1080"/>
        </w:tabs>
        <w:spacing w:line="240" w:lineRule="auto"/>
        <w:ind w:right="78"/>
        <w:jc w:val="both"/>
        <w:rPr>
          <w:rFonts w:ascii="Tahoma" w:hAnsi="Tahoma" w:cs="Tahoma"/>
          <w:sz w:val="24"/>
          <w:szCs w:val="24"/>
        </w:rPr>
      </w:pPr>
      <w:r>
        <w:rPr>
          <w:rFonts w:ascii="Tahoma" w:hAnsi="Tahoma" w:cs="Tahoma"/>
          <w:b/>
          <w:sz w:val="24"/>
          <w:szCs w:val="24"/>
          <w:u w:val="single"/>
        </w:rPr>
        <w:t>Related Policies</w:t>
      </w:r>
      <w:r>
        <w:rPr>
          <w:rFonts w:ascii="Tahoma" w:hAnsi="Tahoma" w:cs="Tahoma"/>
          <w:b/>
          <w:sz w:val="24"/>
          <w:szCs w:val="24"/>
        </w:rPr>
        <w:t>.</w:t>
      </w:r>
      <w:r>
        <w:rPr>
          <w:rFonts w:ascii="Tahoma" w:hAnsi="Tahoma" w:cs="Tahoma"/>
          <w:sz w:val="24"/>
          <w:szCs w:val="24"/>
        </w:rPr>
        <w:t xml:space="preserve"> </w:t>
      </w:r>
    </w:p>
    <w:p w:rsidR="00424D98" w:rsidRDefault="00424D98" w:rsidP="005247BF">
      <w:pPr>
        <w:pStyle w:val="ListParagraph2"/>
        <w:tabs>
          <w:tab w:val="left" w:pos="1080"/>
        </w:tabs>
        <w:spacing w:line="240" w:lineRule="auto"/>
        <w:ind w:left="400" w:right="78"/>
        <w:jc w:val="both"/>
        <w:rPr>
          <w:rFonts w:ascii="Tahoma" w:hAnsi="Tahoma" w:cs="Tahoma"/>
          <w:sz w:val="24"/>
          <w:szCs w:val="24"/>
        </w:rPr>
      </w:pPr>
    </w:p>
    <w:p w:rsidR="00347444" w:rsidRDefault="00347444" w:rsidP="005247BF">
      <w:pPr>
        <w:pStyle w:val="ListParagraph2"/>
        <w:numPr>
          <w:ilvl w:val="0"/>
          <w:numId w:val="60"/>
        </w:numPr>
        <w:tabs>
          <w:tab w:val="left" w:pos="1080"/>
        </w:tabs>
        <w:spacing w:before="240" w:line="240" w:lineRule="auto"/>
        <w:ind w:right="78"/>
        <w:jc w:val="both"/>
        <w:rPr>
          <w:rFonts w:ascii="Tahoma" w:hAnsi="Tahoma" w:cs="Tahoma"/>
          <w:sz w:val="24"/>
          <w:szCs w:val="24"/>
        </w:rPr>
      </w:pPr>
      <w:r>
        <w:rPr>
          <w:rFonts w:ascii="Tahoma" w:hAnsi="Tahoma" w:cs="Tahoma"/>
          <w:sz w:val="24"/>
          <w:szCs w:val="24"/>
        </w:rPr>
        <w:t>T</w:t>
      </w:r>
      <w:r w:rsidR="005B190C">
        <w:rPr>
          <w:rFonts w:ascii="Tahoma" w:hAnsi="Tahoma" w:cs="Tahoma"/>
          <w:sz w:val="24"/>
          <w:szCs w:val="24"/>
        </w:rPr>
        <w:t xml:space="preserve">ariff and </w:t>
      </w:r>
      <w:r>
        <w:rPr>
          <w:rFonts w:ascii="Tahoma" w:hAnsi="Tahoma" w:cs="Tahoma"/>
          <w:sz w:val="24"/>
          <w:szCs w:val="24"/>
        </w:rPr>
        <w:t>C</w:t>
      </w:r>
      <w:r w:rsidR="005B190C">
        <w:rPr>
          <w:rFonts w:ascii="Tahoma" w:hAnsi="Tahoma" w:cs="Tahoma"/>
          <w:sz w:val="24"/>
          <w:szCs w:val="24"/>
        </w:rPr>
        <w:t xml:space="preserve">ustoms </w:t>
      </w:r>
      <w:r>
        <w:rPr>
          <w:rFonts w:ascii="Tahoma" w:hAnsi="Tahoma" w:cs="Tahoma"/>
          <w:sz w:val="24"/>
          <w:szCs w:val="24"/>
        </w:rPr>
        <w:t>C</w:t>
      </w:r>
      <w:r w:rsidR="005B190C">
        <w:rPr>
          <w:rFonts w:ascii="Tahoma" w:hAnsi="Tahoma" w:cs="Tahoma"/>
          <w:sz w:val="24"/>
          <w:szCs w:val="24"/>
        </w:rPr>
        <w:t xml:space="preserve">ode of the </w:t>
      </w:r>
      <w:r>
        <w:rPr>
          <w:rFonts w:ascii="Tahoma" w:hAnsi="Tahoma" w:cs="Tahoma"/>
          <w:sz w:val="24"/>
          <w:szCs w:val="24"/>
        </w:rPr>
        <w:t>P</w:t>
      </w:r>
      <w:r w:rsidR="005B190C">
        <w:rPr>
          <w:rFonts w:ascii="Tahoma" w:hAnsi="Tahoma" w:cs="Tahoma"/>
          <w:sz w:val="24"/>
          <w:szCs w:val="24"/>
        </w:rPr>
        <w:t>hilippines,</w:t>
      </w:r>
      <w:r>
        <w:rPr>
          <w:rFonts w:ascii="Tahoma" w:hAnsi="Tahoma" w:cs="Tahoma"/>
          <w:sz w:val="24"/>
          <w:szCs w:val="24"/>
        </w:rPr>
        <w:t xml:space="preserve"> Sections 1901 to 1909</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424D98">
        <w:rPr>
          <w:rFonts w:ascii="Tahoma" w:hAnsi="Tahoma" w:cs="Tahoma"/>
          <w:sz w:val="24"/>
          <w:szCs w:val="24"/>
        </w:rPr>
        <w:t xml:space="preserve">18-91. </w:t>
      </w:r>
      <w:r w:rsidRPr="005247BF">
        <w:rPr>
          <w:rFonts w:ascii="Tahoma" w:hAnsi="Tahoma" w:cs="Tahoma"/>
          <w:sz w:val="24"/>
          <w:szCs w:val="24"/>
        </w:rPr>
        <w:t xml:space="preserve">Deadline </w:t>
      </w:r>
      <w:r w:rsidRPr="00347444">
        <w:rPr>
          <w:rFonts w:ascii="Tahoma" w:hAnsi="Tahoma" w:cs="Tahoma"/>
          <w:sz w:val="24"/>
          <w:szCs w:val="24"/>
        </w:rPr>
        <w:t xml:space="preserve">For Filing Of </w:t>
      </w:r>
      <w:r w:rsidRPr="005247BF">
        <w:rPr>
          <w:rFonts w:ascii="Tahoma" w:hAnsi="Tahoma" w:cs="Tahoma"/>
          <w:sz w:val="24"/>
          <w:szCs w:val="24"/>
        </w:rPr>
        <w:t xml:space="preserve">Application </w:t>
      </w:r>
      <w:r w:rsidRPr="00347444">
        <w:rPr>
          <w:rFonts w:ascii="Tahoma" w:hAnsi="Tahoma" w:cs="Tahoma"/>
          <w:sz w:val="24"/>
          <w:szCs w:val="24"/>
        </w:rPr>
        <w:t xml:space="preserve">For </w:t>
      </w:r>
      <w:r w:rsidRPr="005247BF">
        <w:rPr>
          <w:rFonts w:ascii="Tahoma" w:hAnsi="Tahoma" w:cs="Tahoma"/>
          <w:sz w:val="24"/>
          <w:szCs w:val="24"/>
        </w:rPr>
        <w:t xml:space="preserve">Renewal </w:t>
      </w:r>
      <w:r w:rsidRPr="00347444">
        <w:rPr>
          <w:rFonts w:ascii="Tahoma" w:hAnsi="Tahoma" w:cs="Tahoma"/>
          <w:sz w:val="24"/>
          <w:szCs w:val="24"/>
        </w:rPr>
        <w:t xml:space="preserve">Of The </w:t>
      </w:r>
      <w:r w:rsidRPr="005247BF">
        <w:rPr>
          <w:rFonts w:ascii="Tahoma" w:hAnsi="Tahoma" w:cs="Tahoma"/>
          <w:sz w:val="24"/>
          <w:szCs w:val="24"/>
        </w:rPr>
        <w:t>Authority</w:t>
      </w:r>
      <w:r w:rsidRPr="00347444">
        <w:rPr>
          <w:rFonts w:ascii="Tahoma" w:hAnsi="Tahoma" w:cs="Tahoma"/>
          <w:sz w:val="24"/>
          <w:szCs w:val="24"/>
        </w:rPr>
        <w:t xml:space="preserve">/License To Operate A </w:t>
      </w:r>
      <w:r w:rsidRPr="005247BF">
        <w:rPr>
          <w:rFonts w:ascii="Tahoma" w:hAnsi="Tahoma" w:cs="Tahoma"/>
          <w:sz w:val="24"/>
          <w:szCs w:val="24"/>
        </w:rPr>
        <w:t>CBW</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424D98">
        <w:rPr>
          <w:rFonts w:ascii="Tahoma" w:hAnsi="Tahoma" w:cs="Tahoma"/>
          <w:sz w:val="24"/>
          <w:szCs w:val="24"/>
        </w:rPr>
        <w:t xml:space="preserve">95-91. </w:t>
      </w:r>
      <w:r w:rsidRPr="005247BF">
        <w:rPr>
          <w:rFonts w:ascii="Tahoma" w:hAnsi="Tahoma" w:cs="Tahoma"/>
          <w:sz w:val="24"/>
          <w:szCs w:val="24"/>
        </w:rPr>
        <w:t xml:space="preserve">Amendment </w:t>
      </w:r>
      <w:r w:rsidRPr="00347444">
        <w:rPr>
          <w:rFonts w:ascii="Tahoma" w:hAnsi="Tahoma" w:cs="Tahoma"/>
          <w:sz w:val="24"/>
          <w:szCs w:val="24"/>
        </w:rPr>
        <w:t xml:space="preserve">To </w:t>
      </w:r>
      <w:r w:rsidRPr="005247BF">
        <w:rPr>
          <w:rFonts w:ascii="Tahoma" w:hAnsi="Tahoma" w:cs="Tahoma"/>
          <w:sz w:val="24"/>
          <w:szCs w:val="24"/>
        </w:rPr>
        <w:t xml:space="preserve">Sec </w:t>
      </w:r>
      <w:r w:rsidRPr="00347444">
        <w:rPr>
          <w:rFonts w:ascii="Tahoma" w:hAnsi="Tahoma" w:cs="Tahoma"/>
          <w:sz w:val="24"/>
          <w:szCs w:val="24"/>
        </w:rPr>
        <w:t xml:space="preserve">11.1.2 And 111.3.1 Of </w:t>
      </w:r>
      <w:r w:rsidRPr="005247BF">
        <w:rPr>
          <w:rFonts w:ascii="Tahoma" w:hAnsi="Tahoma" w:cs="Tahoma"/>
          <w:sz w:val="24"/>
          <w:szCs w:val="24"/>
        </w:rPr>
        <w:t xml:space="preserve">CMO </w:t>
      </w:r>
      <w:r w:rsidRPr="00347444">
        <w:rPr>
          <w:rFonts w:ascii="Tahoma" w:hAnsi="Tahoma" w:cs="Tahoma"/>
          <w:sz w:val="24"/>
          <w:szCs w:val="24"/>
        </w:rPr>
        <w:t>39-91</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CMC </w:t>
      </w:r>
      <w:r w:rsidRPr="00674454">
        <w:rPr>
          <w:rFonts w:ascii="Tahoma" w:hAnsi="Tahoma" w:cs="Tahoma"/>
          <w:sz w:val="24"/>
          <w:szCs w:val="24"/>
        </w:rPr>
        <w:t xml:space="preserve">No. </w:t>
      </w:r>
      <w:r w:rsidR="00424D98">
        <w:rPr>
          <w:rFonts w:ascii="Tahoma" w:hAnsi="Tahoma" w:cs="Tahoma"/>
          <w:sz w:val="24"/>
          <w:szCs w:val="24"/>
        </w:rPr>
        <w:t xml:space="preserve">253-91. </w:t>
      </w:r>
      <w:r w:rsidRPr="005247BF">
        <w:rPr>
          <w:rFonts w:ascii="Tahoma" w:hAnsi="Tahoma" w:cs="Tahoma"/>
          <w:sz w:val="24"/>
          <w:szCs w:val="24"/>
        </w:rPr>
        <w:t xml:space="preserve">Renewal </w:t>
      </w:r>
      <w:r w:rsidRPr="00347444">
        <w:rPr>
          <w:rFonts w:ascii="Tahoma" w:hAnsi="Tahoma" w:cs="Tahoma"/>
          <w:sz w:val="24"/>
          <w:szCs w:val="24"/>
        </w:rPr>
        <w:t xml:space="preserve">Of </w:t>
      </w:r>
      <w:r w:rsidRPr="005247BF">
        <w:rPr>
          <w:rFonts w:ascii="Tahoma" w:hAnsi="Tahoma" w:cs="Tahoma"/>
          <w:sz w:val="24"/>
          <w:szCs w:val="24"/>
        </w:rPr>
        <w:t xml:space="preserve">License </w:t>
      </w:r>
      <w:r w:rsidRPr="00347444">
        <w:rPr>
          <w:rFonts w:ascii="Tahoma" w:hAnsi="Tahoma" w:cs="Tahoma"/>
          <w:sz w:val="24"/>
          <w:szCs w:val="24"/>
        </w:rPr>
        <w:t xml:space="preserve">To Operate A </w:t>
      </w:r>
      <w:r w:rsidRPr="005247BF">
        <w:rPr>
          <w:rFonts w:ascii="Tahoma" w:hAnsi="Tahoma" w:cs="Tahoma"/>
          <w:sz w:val="24"/>
          <w:szCs w:val="24"/>
        </w:rPr>
        <w:t xml:space="preserve">Bonded Manufacturing Warehouse </w:t>
      </w:r>
      <w:r w:rsidRPr="00347444">
        <w:rPr>
          <w:rFonts w:ascii="Tahoma" w:hAnsi="Tahoma" w:cs="Tahoma"/>
          <w:sz w:val="24"/>
          <w:szCs w:val="24"/>
        </w:rPr>
        <w:t xml:space="preserve">Under </w:t>
      </w:r>
      <w:r w:rsidRPr="005247BF">
        <w:rPr>
          <w:rFonts w:ascii="Tahoma" w:hAnsi="Tahoma" w:cs="Tahoma"/>
          <w:sz w:val="24"/>
          <w:szCs w:val="24"/>
        </w:rPr>
        <w:t xml:space="preserve">RA </w:t>
      </w:r>
      <w:r w:rsidRPr="00347444">
        <w:rPr>
          <w:rFonts w:ascii="Tahoma" w:hAnsi="Tahoma" w:cs="Tahoma"/>
          <w:sz w:val="24"/>
          <w:szCs w:val="24"/>
        </w:rPr>
        <w:t xml:space="preserve">3137 Approved By </w:t>
      </w:r>
      <w:r w:rsidRPr="005247BF">
        <w:rPr>
          <w:rFonts w:ascii="Tahoma" w:hAnsi="Tahoma" w:cs="Tahoma"/>
          <w:sz w:val="24"/>
          <w:szCs w:val="24"/>
        </w:rPr>
        <w:t>GTEB</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CAO </w:t>
      </w:r>
      <w:r w:rsidRPr="00674454">
        <w:rPr>
          <w:rFonts w:ascii="Tahoma" w:hAnsi="Tahoma" w:cs="Tahoma"/>
          <w:sz w:val="24"/>
          <w:szCs w:val="24"/>
        </w:rPr>
        <w:t xml:space="preserve">No. </w:t>
      </w:r>
      <w:r w:rsidR="00424D98">
        <w:rPr>
          <w:rFonts w:ascii="Tahoma" w:hAnsi="Tahoma" w:cs="Tahoma"/>
          <w:sz w:val="24"/>
          <w:szCs w:val="24"/>
        </w:rPr>
        <w:t xml:space="preserve">4-96. </w:t>
      </w:r>
      <w:r w:rsidRPr="005247BF">
        <w:rPr>
          <w:rFonts w:ascii="Tahoma" w:hAnsi="Tahoma" w:cs="Tahoma"/>
          <w:sz w:val="24"/>
          <w:szCs w:val="24"/>
        </w:rPr>
        <w:t xml:space="preserve">Creation </w:t>
      </w:r>
      <w:r w:rsidRPr="00347444">
        <w:rPr>
          <w:rFonts w:ascii="Tahoma" w:hAnsi="Tahoma" w:cs="Tahoma"/>
          <w:sz w:val="24"/>
          <w:szCs w:val="24"/>
        </w:rPr>
        <w:t xml:space="preserve">Of </w:t>
      </w:r>
      <w:r w:rsidRPr="005247BF">
        <w:rPr>
          <w:rFonts w:ascii="Tahoma" w:hAnsi="Tahoma" w:cs="Tahoma"/>
          <w:sz w:val="24"/>
          <w:szCs w:val="24"/>
        </w:rPr>
        <w:t>Common Bonded Warehouse Division</w:t>
      </w:r>
      <w:r w:rsidRPr="00347444">
        <w:rPr>
          <w:rFonts w:ascii="Tahoma" w:hAnsi="Tahoma" w:cs="Tahoma"/>
          <w:sz w:val="24"/>
          <w:szCs w:val="24"/>
        </w:rPr>
        <w:t xml:space="preserve">, </w:t>
      </w:r>
      <w:r w:rsidRPr="005247BF">
        <w:rPr>
          <w:rFonts w:ascii="Tahoma" w:hAnsi="Tahoma" w:cs="Tahoma"/>
          <w:sz w:val="24"/>
          <w:szCs w:val="24"/>
        </w:rPr>
        <w:t>POM</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424D98">
        <w:rPr>
          <w:rFonts w:ascii="Tahoma" w:hAnsi="Tahoma" w:cs="Tahoma"/>
          <w:sz w:val="24"/>
          <w:szCs w:val="24"/>
        </w:rPr>
        <w:t xml:space="preserve">36-98. </w:t>
      </w:r>
      <w:r w:rsidRPr="005247BF">
        <w:rPr>
          <w:rFonts w:ascii="Tahoma" w:hAnsi="Tahoma" w:cs="Tahoma"/>
          <w:sz w:val="24"/>
          <w:szCs w:val="24"/>
        </w:rPr>
        <w:t xml:space="preserve">Monitoring </w:t>
      </w:r>
      <w:r w:rsidRPr="00347444">
        <w:rPr>
          <w:rFonts w:ascii="Tahoma" w:hAnsi="Tahoma" w:cs="Tahoma"/>
          <w:sz w:val="24"/>
          <w:szCs w:val="24"/>
        </w:rPr>
        <w:t xml:space="preserve">Of </w:t>
      </w:r>
      <w:r w:rsidRPr="005247BF">
        <w:rPr>
          <w:rFonts w:ascii="Tahoma" w:hAnsi="Tahoma" w:cs="Tahoma"/>
          <w:sz w:val="24"/>
          <w:szCs w:val="24"/>
        </w:rPr>
        <w:t>Warehousing Operations</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CAO </w:t>
      </w:r>
      <w:r w:rsidRPr="00674454">
        <w:rPr>
          <w:rFonts w:ascii="Tahoma" w:hAnsi="Tahoma" w:cs="Tahoma"/>
          <w:sz w:val="24"/>
          <w:szCs w:val="24"/>
        </w:rPr>
        <w:t xml:space="preserve">No. </w:t>
      </w:r>
      <w:r w:rsidR="00424D98">
        <w:rPr>
          <w:rFonts w:ascii="Tahoma" w:hAnsi="Tahoma" w:cs="Tahoma"/>
          <w:sz w:val="24"/>
          <w:szCs w:val="24"/>
        </w:rPr>
        <w:t xml:space="preserve">13-77. </w:t>
      </w:r>
      <w:r w:rsidRPr="005247BF">
        <w:rPr>
          <w:rFonts w:ascii="Tahoma" w:hAnsi="Tahoma" w:cs="Tahoma"/>
          <w:sz w:val="24"/>
          <w:szCs w:val="24"/>
        </w:rPr>
        <w:t xml:space="preserve">Prescribing Rules </w:t>
      </w:r>
      <w:r w:rsidRPr="00347444">
        <w:rPr>
          <w:rFonts w:ascii="Tahoma" w:hAnsi="Tahoma" w:cs="Tahoma"/>
          <w:sz w:val="24"/>
          <w:szCs w:val="24"/>
        </w:rPr>
        <w:t xml:space="preserve">And </w:t>
      </w:r>
      <w:r w:rsidRPr="005247BF">
        <w:rPr>
          <w:rFonts w:ascii="Tahoma" w:hAnsi="Tahoma" w:cs="Tahoma"/>
          <w:sz w:val="24"/>
          <w:szCs w:val="24"/>
        </w:rPr>
        <w:t xml:space="preserve">Regulations </w:t>
      </w:r>
      <w:r w:rsidRPr="00347444">
        <w:rPr>
          <w:rFonts w:ascii="Tahoma" w:hAnsi="Tahoma" w:cs="Tahoma"/>
          <w:sz w:val="24"/>
          <w:szCs w:val="24"/>
        </w:rPr>
        <w:t xml:space="preserve">For The </w:t>
      </w:r>
      <w:r w:rsidRPr="005247BF">
        <w:rPr>
          <w:rFonts w:ascii="Tahoma" w:hAnsi="Tahoma" w:cs="Tahoma"/>
          <w:sz w:val="24"/>
          <w:szCs w:val="24"/>
        </w:rPr>
        <w:t>Establishment</w:t>
      </w:r>
      <w:r w:rsidRPr="00347444">
        <w:rPr>
          <w:rFonts w:ascii="Tahoma" w:hAnsi="Tahoma" w:cs="Tahoma"/>
          <w:sz w:val="24"/>
          <w:szCs w:val="24"/>
        </w:rPr>
        <w:t xml:space="preserve">, </w:t>
      </w:r>
      <w:r w:rsidRPr="005247BF">
        <w:rPr>
          <w:rFonts w:ascii="Tahoma" w:hAnsi="Tahoma" w:cs="Tahoma"/>
          <w:sz w:val="24"/>
          <w:szCs w:val="24"/>
        </w:rPr>
        <w:t>Operation</w:t>
      </w:r>
      <w:r w:rsidRPr="00347444">
        <w:rPr>
          <w:rFonts w:ascii="Tahoma" w:hAnsi="Tahoma" w:cs="Tahoma"/>
          <w:sz w:val="24"/>
          <w:szCs w:val="24"/>
        </w:rPr>
        <w:t xml:space="preserve">, </w:t>
      </w:r>
      <w:r w:rsidRPr="005247BF">
        <w:rPr>
          <w:rFonts w:ascii="Tahoma" w:hAnsi="Tahoma" w:cs="Tahoma"/>
          <w:sz w:val="24"/>
          <w:szCs w:val="24"/>
        </w:rPr>
        <w:t xml:space="preserve">Supervision </w:t>
      </w:r>
      <w:r w:rsidRPr="00347444">
        <w:rPr>
          <w:rFonts w:ascii="Tahoma" w:hAnsi="Tahoma" w:cs="Tahoma"/>
          <w:sz w:val="24"/>
          <w:szCs w:val="24"/>
        </w:rPr>
        <w:t xml:space="preserve">And </w:t>
      </w:r>
      <w:r w:rsidRPr="005247BF">
        <w:rPr>
          <w:rFonts w:ascii="Tahoma" w:hAnsi="Tahoma" w:cs="Tahoma"/>
          <w:sz w:val="24"/>
          <w:szCs w:val="24"/>
        </w:rPr>
        <w:t xml:space="preserve">Control </w:t>
      </w:r>
      <w:r w:rsidRPr="00347444">
        <w:rPr>
          <w:rFonts w:ascii="Tahoma" w:hAnsi="Tahoma" w:cs="Tahoma"/>
          <w:sz w:val="24"/>
          <w:szCs w:val="24"/>
        </w:rPr>
        <w:t xml:space="preserve">Of </w:t>
      </w:r>
      <w:r w:rsidRPr="005247BF">
        <w:rPr>
          <w:rFonts w:ascii="Tahoma" w:hAnsi="Tahoma" w:cs="Tahoma"/>
          <w:sz w:val="24"/>
          <w:szCs w:val="24"/>
        </w:rPr>
        <w:t>Bonded Manufacturing Warehouses</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CAO </w:t>
      </w:r>
      <w:r w:rsidRPr="00674454">
        <w:rPr>
          <w:rFonts w:ascii="Tahoma" w:hAnsi="Tahoma" w:cs="Tahoma"/>
          <w:sz w:val="24"/>
          <w:szCs w:val="24"/>
        </w:rPr>
        <w:t xml:space="preserve">No. </w:t>
      </w:r>
      <w:r w:rsidR="00424D98">
        <w:rPr>
          <w:rFonts w:ascii="Tahoma" w:hAnsi="Tahoma" w:cs="Tahoma"/>
          <w:sz w:val="24"/>
          <w:szCs w:val="24"/>
        </w:rPr>
        <w:t xml:space="preserve">2-79. </w:t>
      </w:r>
      <w:r w:rsidRPr="005247BF">
        <w:rPr>
          <w:rFonts w:ascii="Tahoma" w:hAnsi="Tahoma" w:cs="Tahoma"/>
          <w:sz w:val="24"/>
          <w:szCs w:val="24"/>
        </w:rPr>
        <w:t xml:space="preserve">Rules </w:t>
      </w:r>
      <w:r w:rsidRPr="00347444">
        <w:rPr>
          <w:rFonts w:ascii="Tahoma" w:hAnsi="Tahoma" w:cs="Tahoma"/>
          <w:sz w:val="24"/>
          <w:szCs w:val="24"/>
        </w:rPr>
        <w:t xml:space="preserve">And </w:t>
      </w:r>
      <w:r w:rsidRPr="005247BF">
        <w:rPr>
          <w:rFonts w:ascii="Tahoma" w:hAnsi="Tahoma" w:cs="Tahoma"/>
          <w:sz w:val="24"/>
          <w:szCs w:val="24"/>
        </w:rPr>
        <w:t xml:space="preserve">Regulations </w:t>
      </w:r>
      <w:r w:rsidRPr="00347444">
        <w:rPr>
          <w:rFonts w:ascii="Tahoma" w:hAnsi="Tahoma" w:cs="Tahoma"/>
          <w:sz w:val="24"/>
          <w:szCs w:val="24"/>
        </w:rPr>
        <w:t xml:space="preserve">For The </w:t>
      </w:r>
      <w:r w:rsidRPr="005247BF">
        <w:rPr>
          <w:rFonts w:ascii="Tahoma" w:hAnsi="Tahoma" w:cs="Tahoma"/>
          <w:sz w:val="24"/>
          <w:szCs w:val="24"/>
        </w:rPr>
        <w:t>Establishment</w:t>
      </w:r>
      <w:r w:rsidRPr="00347444">
        <w:rPr>
          <w:rFonts w:ascii="Tahoma" w:hAnsi="Tahoma" w:cs="Tahoma"/>
          <w:sz w:val="24"/>
          <w:szCs w:val="24"/>
        </w:rPr>
        <w:t xml:space="preserve">, </w:t>
      </w:r>
      <w:r w:rsidRPr="005247BF">
        <w:rPr>
          <w:rFonts w:ascii="Tahoma" w:hAnsi="Tahoma" w:cs="Tahoma"/>
          <w:sz w:val="24"/>
          <w:szCs w:val="24"/>
        </w:rPr>
        <w:t>Operation</w:t>
      </w:r>
      <w:r w:rsidRPr="00347444">
        <w:rPr>
          <w:rFonts w:ascii="Tahoma" w:hAnsi="Tahoma" w:cs="Tahoma"/>
          <w:sz w:val="24"/>
          <w:szCs w:val="24"/>
        </w:rPr>
        <w:t xml:space="preserve">, </w:t>
      </w:r>
      <w:r w:rsidRPr="005247BF">
        <w:rPr>
          <w:rFonts w:ascii="Tahoma" w:hAnsi="Tahoma" w:cs="Tahoma"/>
          <w:sz w:val="24"/>
          <w:szCs w:val="24"/>
        </w:rPr>
        <w:t xml:space="preserve">Supervision </w:t>
      </w:r>
      <w:r w:rsidRPr="00347444">
        <w:rPr>
          <w:rFonts w:ascii="Tahoma" w:hAnsi="Tahoma" w:cs="Tahoma"/>
          <w:sz w:val="24"/>
          <w:szCs w:val="24"/>
        </w:rPr>
        <w:t xml:space="preserve">And </w:t>
      </w:r>
      <w:r w:rsidRPr="005247BF">
        <w:rPr>
          <w:rFonts w:ascii="Tahoma" w:hAnsi="Tahoma" w:cs="Tahoma"/>
          <w:sz w:val="24"/>
          <w:szCs w:val="24"/>
        </w:rPr>
        <w:t xml:space="preserve">Content </w:t>
      </w:r>
      <w:r w:rsidRPr="00347444">
        <w:rPr>
          <w:rFonts w:ascii="Tahoma" w:hAnsi="Tahoma" w:cs="Tahoma"/>
          <w:sz w:val="24"/>
          <w:szCs w:val="24"/>
        </w:rPr>
        <w:t xml:space="preserve">Of </w:t>
      </w:r>
      <w:r w:rsidRPr="005247BF">
        <w:rPr>
          <w:rFonts w:ascii="Tahoma" w:hAnsi="Tahoma" w:cs="Tahoma"/>
          <w:sz w:val="24"/>
          <w:szCs w:val="24"/>
        </w:rPr>
        <w:t>Bonded Manufacturing Warehouse</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424D98">
        <w:rPr>
          <w:rFonts w:ascii="Tahoma" w:hAnsi="Tahoma" w:cs="Tahoma"/>
          <w:sz w:val="24"/>
          <w:szCs w:val="24"/>
        </w:rPr>
        <w:t xml:space="preserve">36-91. </w:t>
      </w:r>
      <w:r w:rsidRPr="005247BF">
        <w:rPr>
          <w:rFonts w:ascii="Tahoma" w:hAnsi="Tahoma" w:cs="Tahoma"/>
          <w:sz w:val="24"/>
          <w:szCs w:val="24"/>
        </w:rPr>
        <w:t xml:space="preserve">Uniform Procedure </w:t>
      </w:r>
      <w:r w:rsidRPr="00347444">
        <w:rPr>
          <w:rFonts w:ascii="Tahoma" w:hAnsi="Tahoma" w:cs="Tahoma"/>
          <w:sz w:val="24"/>
          <w:szCs w:val="24"/>
        </w:rPr>
        <w:t xml:space="preserve">In The </w:t>
      </w:r>
      <w:r w:rsidRPr="005247BF">
        <w:rPr>
          <w:rFonts w:ascii="Tahoma" w:hAnsi="Tahoma" w:cs="Tahoma"/>
          <w:sz w:val="24"/>
          <w:szCs w:val="24"/>
        </w:rPr>
        <w:t xml:space="preserve">Liquidation </w:t>
      </w:r>
      <w:r w:rsidRPr="00347444">
        <w:rPr>
          <w:rFonts w:ascii="Tahoma" w:hAnsi="Tahoma" w:cs="Tahoma"/>
          <w:sz w:val="24"/>
          <w:szCs w:val="24"/>
        </w:rPr>
        <w:t xml:space="preserve">Of </w:t>
      </w:r>
      <w:r w:rsidRPr="005247BF">
        <w:rPr>
          <w:rFonts w:ascii="Tahoma" w:hAnsi="Tahoma" w:cs="Tahoma"/>
          <w:sz w:val="24"/>
          <w:szCs w:val="24"/>
        </w:rPr>
        <w:t xml:space="preserve">Warehousing Entries </w:t>
      </w:r>
      <w:r w:rsidRPr="00347444">
        <w:rPr>
          <w:rFonts w:ascii="Tahoma" w:hAnsi="Tahoma" w:cs="Tahoma"/>
          <w:sz w:val="24"/>
          <w:szCs w:val="24"/>
        </w:rPr>
        <w:t xml:space="preserve">And </w:t>
      </w:r>
      <w:r w:rsidRPr="005247BF">
        <w:rPr>
          <w:rFonts w:ascii="Tahoma" w:hAnsi="Tahoma" w:cs="Tahoma"/>
          <w:sz w:val="24"/>
          <w:szCs w:val="24"/>
        </w:rPr>
        <w:t xml:space="preserve">Cancellation </w:t>
      </w:r>
      <w:r w:rsidRPr="00347444">
        <w:rPr>
          <w:rFonts w:ascii="Tahoma" w:hAnsi="Tahoma" w:cs="Tahoma"/>
          <w:sz w:val="24"/>
          <w:szCs w:val="24"/>
        </w:rPr>
        <w:t xml:space="preserve">Of </w:t>
      </w:r>
      <w:r w:rsidRPr="005247BF">
        <w:rPr>
          <w:rFonts w:ascii="Tahoma" w:hAnsi="Tahoma" w:cs="Tahoma"/>
          <w:sz w:val="24"/>
          <w:szCs w:val="24"/>
        </w:rPr>
        <w:t>Bonds</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424D98">
        <w:rPr>
          <w:rFonts w:ascii="Tahoma" w:hAnsi="Tahoma" w:cs="Tahoma"/>
          <w:sz w:val="24"/>
          <w:szCs w:val="24"/>
        </w:rPr>
        <w:t xml:space="preserve">6-2000. </w:t>
      </w:r>
      <w:r w:rsidRPr="005247BF">
        <w:rPr>
          <w:rFonts w:ascii="Tahoma" w:hAnsi="Tahoma" w:cs="Tahoma"/>
          <w:sz w:val="24"/>
          <w:szCs w:val="24"/>
        </w:rPr>
        <w:t xml:space="preserve">Creation </w:t>
      </w:r>
      <w:r w:rsidRPr="00347444">
        <w:rPr>
          <w:rFonts w:ascii="Tahoma" w:hAnsi="Tahoma" w:cs="Tahoma"/>
          <w:sz w:val="24"/>
          <w:szCs w:val="24"/>
        </w:rPr>
        <w:t xml:space="preserve">Of </w:t>
      </w:r>
      <w:r w:rsidRPr="005247BF">
        <w:rPr>
          <w:rFonts w:ascii="Tahoma" w:hAnsi="Tahoma" w:cs="Tahoma"/>
          <w:sz w:val="24"/>
          <w:szCs w:val="24"/>
        </w:rPr>
        <w:t xml:space="preserve">Bonded Warehouse Committee </w:t>
      </w:r>
      <w:r w:rsidRPr="00347444">
        <w:rPr>
          <w:rFonts w:ascii="Tahoma" w:hAnsi="Tahoma" w:cs="Tahoma"/>
          <w:sz w:val="24"/>
          <w:szCs w:val="24"/>
        </w:rPr>
        <w:t xml:space="preserve">To Implement The Provisions Under </w:t>
      </w:r>
      <w:r w:rsidRPr="005247BF">
        <w:rPr>
          <w:rFonts w:ascii="Tahoma" w:hAnsi="Tahoma" w:cs="Tahoma"/>
          <w:sz w:val="24"/>
          <w:szCs w:val="24"/>
        </w:rPr>
        <w:t xml:space="preserve">CAO </w:t>
      </w:r>
      <w:r w:rsidRPr="00347444">
        <w:rPr>
          <w:rFonts w:ascii="Tahoma" w:hAnsi="Tahoma" w:cs="Tahoma"/>
          <w:sz w:val="24"/>
          <w:szCs w:val="24"/>
        </w:rPr>
        <w:t xml:space="preserve">2-91 And </w:t>
      </w:r>
      <w:r w:rsidRPr="005247BF">
        <w:rPr>
          <w:rFonts w:ascii="Tahoma" w:hAnsi="Tahoma" w:cs="Tahoma"/>
          <w:sz w:val="24"/>
          <w:szCs w:val="24"/>
        </w:rPr>
        <w:t xml:space="preserve">CMO </w:t>
      </w:r>
      <w:r w:rsidRPr="00347444">
        <w:rPr>
          <w:rFonts w:ascii="Tahoma" w:hAnsi="Tahoma" w:cs="Tahoma"/>
          <w:sz w:val="24"/>
          <w:szCs w:val="24"/>
        </w:rPr>
        <w:t>39-91</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424D98">
        <w:rPr>
          <w:rFonts w:ascii="Tahoma" w:hAnsi="Tahoma" w:cs="Tahoma"/>
          <w:sz w:val="24"/>
          <w:szCs w:val="24"/>
        </w:rPr>
        <w:t xml:space="preserve">4-2000. </w:t>
      </w:r>
      <w:r w:rsidRPr="005247BF">
        <w:rPr>
          <w:rFonts w:ascii="Tahoma" w:hAnsi="Tahoma" w:cs="Tahoma"/>
          <w:sz w:val="24"/>
          <w:szCs w:val="24"/>
        </w:rPr>
        <w:t xml:space="preserve">Guidelines </w:t>
      </w:r>
      <w:r w:rsidRPr="00347444">
        <w:rPr>
          <w:rFonts w:ascii="Tahoma" w:hAnsi="Tahoma" w:cs="Tahoma"/>
          <w:sz w:val="24"/>
          <w:szCs w:val="24"/>
        </w:rPr>
        <w:t xml:space="preserve">In The </w:t>
      </w:r>
      <w:r w:rsidRPr="005247BF">
        <w:rPr>
          <w:rFonts w:ascii="Tahoma" w:hAnsi="Tahoma" w:cs="Tahoma"/>
          <w:sz w:val="24"/>
          <w:szCs w:val="24"/>
        </w:rPr>
        <w:t xml:space="preserve">Implementation </w:t>
      </w:r>
      <w:r w:rsidRPr="00347444">
        <w:rPr>
          <w:rFonts w:ascii="Tahoma" w:hAnsi="Tahoma" w:cs="Tahoma"/>
          <w:sz w:val="24"/>
          <w:szCs w:val="24"/>
        </w:rPr>
        <w:t xml:space="preserve">Of The </w:t>
      </w:r>
      <w:r w:rsidRPr="005247BF">
        <w:rPr>
          <w:rFonts w:ascii="Tahoma" w:hAnsi="Tahoma" w:cs="Tahoma"/>
          <w:sz w:val="24"/>
          <w:szCs w:val="24"/>
        </w:rPr>
        <w:t xml:space="preserve">Automated Board Management System </w:t>
      </w:r>
      <w:r w:rsidRPr="00347444">
        <w:rPr>
          <w:rFonts w:ascii="Tahoma" w:hAnsi="Tahoma" w:cs="Tahoma"/>
          <w:sz w:val="24"/>
          <w:szCs w:val="24"/>
        </w:rPr>
        <w:t>(</w:t>
      </w:r>
      <w:r w:rsidRPr="005247BF">
        <w:rPr>
          <w:rFonts w:ascii="Tahoma" w:hAnsi="Tahoma" w:cs="Tahoma"/>
          <w:sz w:val="24"/>
          <w:szCs w:val="24"/>
        </w:rPr>
        <w:t>ABMS</w:t>
      </w:r>
      <w:r w:rsidRPr="00347444">
        <w:rPr>
          <w:rFonts w:ascii="Tahoma" w:hAnsi="Tahoma" w:cs="Tahoma"/>
          <w:sz w:val="24"/>
          <w:szCs w:val="24"/>
        </w:rPr>
        <w:t>)</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lastRenderedPageBreak/>
        <w:t xml:space="preserve">CAO </w:t>
      </w:r>
      <w:r w:rsidRPr="00674454">
        <w:rPr>
          <w:rFonts w:ascii="Tahoma" w:hAnsi="Tahoma" w:cs="Tahoma"/>
          <w:sz w:val="24"/>
          <w:szCs w:val="24"/>
        </w:rPr>
        <w:t xml:space="preserve">No. </w:t>
      </w:r>
      <w:r w:rsidR="00424D98">
        <w:rPr>
          <w:rFonts w:ascii="Tahoma" w:hAnsi="Tahoma" w:cs="Tahoma"/>
          <w:sz w:val="24"/>
          <w:szCs w:val="24"/>
        </w:rPr>
        <w:t xml:space="preserve">5-2002. </w:t>
      </w:r>
      <w:r w:rsidRPr="005247BF">
        <w:rPr>
          <w:rFonts w:ascii="Tahoma" w:hAnsi="Tahoma" w:cs="Tahoma"/>
          <w:sz w:val="24"/>
          <w:szCs w:val="24"/>
        </w:rPr>
        <w:t xml:space="preserve">Rules </w:t>
      </w:r>
      <w:r w:rsidRPr="00347444">
        <w:rPr>
          <w:rFonts w:ascii="Tahoma" w:hAnsi="Tahoma" w:cs="Tahoma"/>
          <w:sz w:val="24"/>
          <w:szCs w:val="24"/>
        </w:rPr>
        <w:t xml:space="preserve">And </w:t>
      </w:r>
      <w:r w:rsidRPr="005247BF">
        <w:rPr>
          <w:rFonts w:ascii="Tahoma" w:hAnsi="Tahoma" w:cs="Tahoma"/>
          <w:sz w:val="24"/>
          <w:szCs w:val="24"/>
        </w:rPr>
        <w:t xml:space="preserve">Regulations </w:t>
      </w:r>
      <w:r w:rsidRPr="00347444">
        <w:rPr>
          <w:rFonts w:ascii="Tahoma" w:hAnsi="Tahoma" w:cs="Tahoma"/>
          <w:sz w:val="24"/>
          <w:szCs w:val="24"/>
        </w:rPr>
        <w:t xml:space="preserve">In The Importation Of </w:t>
      </w:r>
      <w:r w:rsidRPr="005247BF">
        <w:rPr>
          <w:rFonts w:ascii="Tahoma" w:hAnsi="Tahoma" w:cs="Tahoma"/>
          <w:sz w:val="24"/>
          <w:szCs w:val="24"/>
        </w:rPr>
        <w:t xml:space="preserve">Articles </w:t>
      </w:r>
      <w:r w:rsidRPr="00347444">
        <w:rPr>
          <w:rFonts w:ascii="Tahoma" w:hAnsi="Tahoma" w:cs="Tahoma"/>
          <w:sz w:val="24"/>
          <w:szCs w:val="24"/>
        </w:rPr>
        <w:t xml:space="preserve">Through The </w:t>
      </w:r>
      <w:r w:rsidRPr="005247BF">
        <w:rPr>
          <w:rFonts w:ascii="Tahoma" w:hAnsi="Tahoma" w:cs="Tahoma"/>
          <w:sz w:val="24"/>
          <w:szCs w:val="24"/>
        </w:rPr>
        <w:t>Customs Bonded Trading Warehouse</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CAO </w:t>
      </w:r>
      <w:r w:rsidRPr="00674454">
        <w:rPr>
          <w:rFonts w:ascii="Tahoma" w:hAnsi="Tahoma" w:cs="Tahoma"/>
          <w:sz w:val="24"/>
          <w:szCs w:val="24"/>
        </w:rPr>
        <w:t xml:space="preserve">No. </w:t>
      </w:r>
      <w:r w:rsidRPr="00347444">
        <w:rPr>
          <w:rFonts w:ascii="Tahoma" w:hAnsi="Tahoma" w:cs="Tahoma"/>
          <w:sz w:val="24"/>
          <w:szCs w:val="24"/>
        </w:rPr>
        <w:t>7-2</w:t>
      </w:r>
      <w:r w:rsidR="00627E48">
        <w:rPr>
          <w:rFonts w:ascii="Tahoma" w:hAnsi="Tahoma" w:cs="Tahoma"/>
          <w:sz w:val="24"/>
          <w:szCs w:val="24"/>
        </w:rPr>
        <w:t xml:space="preserve">002. </w:t>
      </w:r>
      <w:r w:rsidRPr="005247BF">
        <w:rPr>
          <w:rFonts w:ascii="Tahoma" w:hAnsi="Tahoma" w:cs="Tahoma"/>
          <w:sz w:val="24"/>
          <w:szCs w:val="24"/>
        </w:rPr>
        <w:t xml:space="preserve">Establishment </w:t>
      </w:r>
      <w:r w:rsidR="00424D98">
        <w:rPr>
          <w:rFonts w:ascii="Tahoma" w:hAnsi="Tahoma" w:cs="Tahoma"/>
          <w:sz w:val="24"/>
          <w:szCs w:val="24"/>
        </w:rPr>
        <w:t>o</w:t>
      </w:r>
      <w:r w:rsidRPr="00347444">
        <w:rPr>
          <w:rFonts w:ascii="Tahoma" w:hAnsi="Tahoma" w:cs="Tahoma"/>
          <w:sz w:val="24"/>
          <w:szCs w:val="24"/>
        </w:rPr>
        <w:t xml:space="preserve">f </w:t>
      </w:r>
      <w:r w:rsidR="003605A2">
        <w:rPr>
          <w:rFonts w:ascii="Tahoma" w:hAnsi="Tahoma" w:cs="Tahoma"/>
          <w:sz w:val="24"/>
          <w:szCs w:val="24"/>
        </w:rPr>
        <w:t>Industry-</w:t>
      </w:r>
      <w:r w:rsidRPr="005247BF">
        <w:rPr>
          <w:rFonts w:ascii="Tahoma" w:hAnsi="Tahoma" w:cs="Tahoma"/>
          <w:sz w:val="24"/>
          <w:szCs w:val="24"/>
        </w:rPr>
        <w:t xml:space="preserve">Specific CBW’s </w:t>
      </w:r>
      <w:r w:rsidR="00627E48">
        <w:rPr>
          <w:rFonts w:ascii="Tahoma" w:hAnsi="Tahoma" w:cs="Tahoma"/>
          <w:sz w:val="24"/>
          <w:szCs w:val="24"/>
        </w:rPr>
        <w:t>a</w:t>
      </w:r>
      <w:r w:rsidRPr="00347444">
        <w:rPr>
          <w:rFonts w:ascii="Tahoma" w:hAnsi="Tahoma" w:cs="Tahoma"/>
          <w:sz w:val="24"/>
          <w:szCs w:val="24"/>
        </w:rPr>
        <w:t xml:space="preserve">nd The Rules </w:t>
      </w:r>
      <w:r w:rsidR="00EE1B32">
        <w:rPr>
          <w:rFonts w:ascii="Tahoma" w:hAnsi="Tahoma" w:cs="Tahoma"/>
          <w:sz w:val="24"/>
          <w:szCs w:val="24"/>
        </w:rPr>
        <w:t>a</w:t>
      </w:r>
      <w:r w:rsidRPr="00347444">
        <w:rPr>
          <w:rFonts w:ascii="Tahoma" w:hAnsi="Tahoma" w:cs="Tahoma"/>
          <w:sz w:val="24"/>
          <w:szCs w:val="24"/>
        </w:rPr>
        <w:t>nd Regulations Governing Its Operations.</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CAO </w:t>
      </w:r>
      <w:r w:rsidRPr="00674454">
        <w:rPr>
          <w:rFonts w:ascii="Tahoma" w:hAnsi="Tahoma" w:cs="Tahoma"/>
          <w:sz w:val="24"/>
          <w:szCs w:val="24"/>
        </w:rPr>
        <w:t xml:space="preserve">No. </w:t>
      </w:r>
      <w:r w:rsidR="00B40848">
        <w:rPr>
          <w:rFonts w:ascii="Tahoma" w:hAnsi="Tahoma" w:cs="Tahoma"/>
          <w:sz w:val="24"/>
          <w:szCs w:val="24"/>
        </w:rPr>
        <w:t xml:space="preserve">3-2003. </w:t>
      </w:r>
      <w:r w:rsidRPr="005247BF">
        <w:rPr>
          <w:rFonts w:ascii="Tahoma" w:hAnsi="Tahoma" w:cs="Tahoma"/>
          <w:sz w:val="24"/>
          <w:szCs w:val="24"/>
        </w:rPr>
        <w:t>Establishment</w:t>
      </w:r>
      <w:r w:rsidRPr="00347444">
        <w:rPr>
          <w:rFonts w:ascii="Tahoma" w:hAnsi="Tahoma" w:cs="Tahoma"/>
          <w:sz w:val="24"/>
          <w:szCs w:val="24"/>
        </w:rPr>
        <w:t xml:space="preserve">, </w:t>
      </w:r>
      <w:r w:rsidRPr="005247BF">
        <w:rPr>
          <w:rFonts w:ascii="Tahoma" w:hAnsi="Tahoma" w:cs="Tahoma"/>
          <w:sz w:val="24"/>
          <w:szCs w:val="24"/>
        </w:rPr>
        <w:t xml:space="preserve">Operation </w:t>
      </w:r>
      <w:r w:rsidRPr="00347444">
        <w:rPr>
          <w:rFonts w:ascii="Tahoma" w:hAnsi="Tahoma" w:cs="Tahoma"/>
          <w:sz w:val="24"/>
          <w:szCs w:val="24"/>
        </w:rPr>
        <w:t xml:space="preserve">And </w:t>
      </w:r>
      <w:r w:rsidRPr="005247BF">
        <w:rPr>
          <w:rFonts w:ascii="Tahoma" w:hAnsi="Tahoma" w:cs="Tahoma"/>
          <w:sz w:val="24"/>
          <w:szCs w:val="24"/>
        </w:rPr>
        <w:t xml:space="preserve">Control </w:t>
      </w:r>
      <w:r w:rsidRPr="00347444">
        <w:rPr>
          <w:rFonts w:ascii="Tahoma" w:hAnsi="Tahoma" w:cs="Tahoma"/>
          <w:sz w:val="24"/>
          <w:szCs w:val="24"/>
        </w:rPr>
        <w:t xml:space="preserve">Of </w:t>
      </w:r>
      <w:r w:rsidRPr="005247BF">
        <w:rPr>
          <w:rFonts w:ascii="Tahoma" w:hAnsi="Tahoma" w:cs="Tahoma"/>
          <w:sz w:val="24"/>
          <w:szCs w:val="24"/>
        </w:rPr>
        <w:t>Special Customs Bonded Conversion Facility</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B40848">
        <w:rPr>
          <w:rFonts w:ascii="Tahoma" w:hAnsi="Tahoma" w:cs="Tahoma"/>
          <w:sz w:val="24"/>
          <w:szCs w:val="24"/>
        </w:rPr>
        <w:t xml:space="preserve">2-2003. </w:t>
      </w:r>
      <w:r w:rsidRPr="005247BF">
        <w:rPr>
          <w:rFonts w:ascii="Tahoma" w:hAnsi="Tahoma" w:cs="Tahoma"/>
          <w:sz w:val="24"/>
          <w:szCs w:val="24"/>
        </w:rPr>
        <w:t xml:space="preserve">Rules </w:t>
      </w:r>
      <w:r w:rsidRPr="00347444">
        <w:rPr>
          <w:rFonts w:ascii="Tahoma" w:hAnsi="Tahoma" w:cs="Tahoma"/>
          <w:sz w:val="24"/>
          <w:szCs w:val="24"/>
        </w:rPr>
        <w:t xml:space="preserve">And </w:t>
      </w:r>
      <w:r w:rsidRPr="005247BF">
        <w:rPr>
          <w:rFonts w:ascii="Tahoma" w:hAnsi="Tahoma" w:cs="Tahoma"/>
          <w:sz w:val="24"/>
          <w:szCs w:val="24"/>
        </w:rPr>
        <w:t xml:space="preserve">Regulations </w:t>
      </w:r>
      <w:r w:rsidRPr="00347444">
        <w:rPr>
          <w:rFonts w:ascii="Tahoma" w:hAnsi="Tahoma" w:cs="Tahoma"/>
          <w:sz w:val="24"/>
          <w:szCs w:val="24"/>
        </w:rPr>
        <w:t xml:space="preserve">In The Administrative Proceedings On The Closure Of </w:t>
      </w:r>
      <w:r w:rsidRPr="005247BF">
        <w:rPr>
          <w:rFonts w:ascii="Tahoma" w:hAnsi="Tahoma" w:cs="Tahoma"/>
          <w:sz w:val="24"/>
          <w:szCs w:val="24"/>
        </w:rPr>
        <w:t xml:space="preserve">Bonded Warehouse </w:t>
      </w:r>
      <w:r w:rsidRPr="00347444">
        <w:rPr>
          <w:rFonts w:ascii="Tahoma" w:hAnsi="Tahoma" w:cs="Tahoma"/>
          <w:sz w:val="24"/>
          <w:szCs w:val="24"/>
        </w:rPr>
        <w:t xml:space="preserve">As </w:t>
      </w:r>
      <w:r w:rsidRPr="005247BF">
        <w:rPr>
          <w:rFonts w:ascii="Tahoma" w:hAnsi="Tahoma" w:cs="Tahoma"/>
          <w:sz w:val="24"/>
          <w:szCs w:val="24"/>
        </w:rPr>
        <w:t xml:space="preserve">Implemented </w:t>
      </w:r>
      <w:r w:rsidRPr="00347444">
        <w:rPr>
          <w:rFonts w:ascii="Tahoma" w:hAnsi="Tahoma" w:cs="Tahoma"/>
          <w:sz w:val="24"/>
          <w:szCs w:val="24"/>
        </w:rPr>
        <w:t xml:space="preserve">In </w:t>
      </w:r>
      <w:r w:rsidRPr="005247BF">
        <w:rPr>
          <w:rFonts w:ascii="Tahoma" w:hAnsi="Tahoma" w:cs="Tahoma"/>
          <w:sz w:val="24"/>
          <w:szCs w:val="24"/>
        </w:rPr>
        <w:t xml:space="preserve">CAO </w:t>
      </w:r>
      <w:r w:rsidRPr="00347444">
        <w:rPr>
          <w:rFonts w:ascii="Tahoma" w:hAnsi="Tahoma" w:cs="Tahoma"/>
          <w:sz w:val="24"/>
          <w:szCs w:val="24"/>
        </w:rPr>
        <w:t xml:space="preserve">2-91 And </w:t>
      </w:r>
      <w:r w:rsidRPr="005247BF">
        <w:rPr>
          <w:rFonts w:ascii="Tahoma" w:hAnsi="Tahoma" w:cs="Tahoma"/>
          <w:sz w:val="24"/>
          <w:szCs w:val="24"/>
        </w:rPr>
        <w:t xml:space="preserve">CMO </w:t>
      </w:r>
      <w:r w:rsidRPr="00347444">
        <w:rPr>
          <w:rFonts w:ascii="Tahoma" w:hAnsi="Tahoma" w:cs="Tahoma"/>
          <w:sz w:val="24"/>
          <w:szCs w:val="24"/>
        </w:rPr>
        <w:t>39-91</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B40848">
        <w:rPr>
          <w:rFonts w:ascii="Tahoma" w:hAnsi="Tahoma" w:cs="Tahoma"/>
          <w:sz w:val="24"/>
          <w:szCs w:val="24"/>
        </w:rPr>
        <w:t>3-2003.</w:t>
      </w:r>
      <w:r w:rsidRPr="00347444">
        <w:rPr>
          <w:rFonts w:ascii="Tahoma" w:hAnsi="Tahoma" w:cs="Tahoma"/>
          <w:sz w:val="24"/>
          <w:szCs w:val="24"/>
        </w:rPr>
        <w:t xml:space="preserve"> </w:t>
      </w:r>
      <w:r w:rsidRPr="005247BF">
        <w:rPr>
          <w:rFonts w:ascii="Tahoma" w:hAnsi="Tahoma" w:cs="Tahoma"/>
          <w:sz w:val="24"/>
          <w:szCs w:val="24"/>
        </w:rPr>
        <w:t xml:space="preserve">Issuance </w:t>
      </w:r>
      <w:r w:rsidRPr="00347444">
        <w:rPr>
          <w:rFonts w:ascii="Tahoma" w:hAnsi="Tahoma" w:cs="Tahoma"/>
          <w:sz w:val="24"/>
          <w:szCs w:val="24"/>
        </w:rPr>
        <w:t xml:space="preserve">Of </w:t>
      </w:r>
      <w:r w:rsidRPr="005247BF">
        <w:rPr>
          <w:rFonts w:ascii="Tahoma" w:hAnsi="Tahoma" w:cs="Tahoma"/>
          <w:sz w:val="24"/>
          <w:szCs w:val="24"/>
        </w:rPr>
        <w:t xml:space="preserve">Clearance </w:t>
      </w:r>
      <w:r w:rsidRPr="00347444">
        <w:rPr>
          <w:rFonts w:ascii="Tahoma" w:hAnsi="Tahoma" w:cs="Tahoma"/>
          <w:sz w:val="24"/>
          <w:szCs w:val="24"/>
        </w:rPr>
        <w:t xml:space="preserve">To </w:t>
      </w:r>
      <w:r w:rsidRPr="005247BF">
        <w:rPr>
          <w:rFonts w:ascii="Tahoma" w:hAnsi="Tahoma" w:cs="Tahoma"/>
          <w:sz w:val="24"/>
          <w:szCs w:val="24"/>
        </w:rPr>
        <w:t>Customs Bonded Warehouse</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CAO </w:t>
      </w:r>
      <w:r w:rsidRPr="00674454">
        <w:rPr>
          <w:rFonts w:ascii="Tahoma" w:hAnsi="Tahoma" w:cs="Tahoma"/>
          <w:sz w:val="24"/>
          <w:szCs w:val="24"/>
        </w:rPr>
        <w:t xml:space="preserve">No. </w:t>
      </w:r>
      <w:r w:rsidR="00B40848">
        <w:rPr>
          <w:rFonts w:ascii="Tahoma" w:hAnsi="Tahoma" w:cs="Tahoma"/>
          <w:sz w:val="24"/>
          <w:szCs w:val="24"/>
        </w:rPr>
        <w:t>7-2003.</w:t>
      </w:r>
      <w:r w:rsidRPr="00347444">
        <w:rPr>
          <w:rFonts w:ascii="Tahoma" w:hAnsi="Tahoma" w:cs="Tahoma"/>
          <w:sz w:val="24"/>
          <w:szCs w:val="24"/>
        </w:rPr>
        <w:t xml:space="preserve"> </w:t>
      </w:r>
      <w:r w:rsidRPr="005247BF">
        <w:rPr>
          <w:rFonts w:ascii="Tahoma" w:hAnsi="Tahoma" w:cs="Tahoma"/>
          <w:sz w:val="24"/>
          <w:szCs w:val="24"/>
        </w:rPr>
        <w:t xml:space="preserve">Establishment </w:t>
      </w:r>
      <w:r w:rsidRPr="00347444">
        <w:rPr>
          <w:rFonts w:ascii="Tahoma" w:hAnsi="Tahoma" w:cs="Tahoma"/>
          <w:sz w:val="24"/>
          <w:szCs w:val="24"/>
        </w:rPr>
        <w:t xml:space="preserve">Of </w:t>
      </w:r>
      <w:r w:rsidRPr="005247BF">
        <w:rPr>
          <w:rFonts w:ascii="Tahoma" w:hAnsi="Tahoma" w:cs="Tahoma"/>
          <w:sz w:val="24"/>
          <w:szCs w:val="24"/>
        </w:rPr>
        <w:t xml:space="preserve">Industry </w:t>
      </w:r>
      <w:r w:rsidRPr="00347444">
        <w:rPr>
          <w:rFonts w:ascii="Tahoma" w:hAnsi="Tahoma" w:cs="Tahoma"/>
          <w:sz w:val="24"/>
          <w:szCs w:val="24"/>
        </w:rPr>
        <w:t xml:space="preserve">– </w:t>
      </w:r>
      <w:r w:rsidRPr="005247BF">
        <w:rPr>
          <w:rFonts w:ascii="Tahoma" w:hAnsi="Tahoma" w:cs="Tahoma"/>
          <w:sz w:val="24"/>
          <w:szCs w:val="24"/>
        </w:rPr>
        <w:t xml:space="preserve">Specific Customs Bonded Warehouse </w:t>
      </w:r>
      <w:r w:rsidRPr="00347444">
        <w:rPr>
          <w:rFonts w:ascii="Tahoma" w:hAnsi="Tahoma" w:cs="Tahoma"/>
          <w:sz w:val="24"/>
          <w:szCs w:val="24"/>
        </w:rPr>
        <w:t>Servicing The Semi -Conductor And Electronics Industry And The Rules And Regulations Governing Its Operations</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B40848">
        <w:rPr>
          <w:rFonts w:ascii="Tahoma" w:hAnsi="Tahoma" w:cs="Tahoma"/>
          <w:sz w:val="24"/>
          <w:szCs w:val="24"/>
        </w:rPr>
        <w:t xml:space="preserve">19-2005. </w:t>
      </w:r>
      <w:r w:rsidRPr="005247BF">
        <w:rPr>
          <w:rFonts w:ascii="Tahoma" w:hAnsi="Tahoma" w:cs="Tahoma"/>
          <w:sz w:val="24"/>
          <w:szCs w:val="24"/>
        </w:rPr>
        <w:t xml:space="preserve">Renewal </w:t>
      </w:r>
      <w:r w:rsidRPr="00347444">
        <w:rPr>
          <w:rFonts w:ascii="Tahoma" w:hAnsi="Tahoma" w:cs="Tahoma"/>
          <w:sz w:val="24"/>
          <w:szCs w:val="24"/>
        </w:rPr>
        <w:t xml:space="preserve">Of </w:t>
      </w:r>
      <w:r w:rsidRPr="005247BF">
        <w:rPr>
          <w:rFonts w:ascii="Tahoma" w:hAnsi="Tahoma" w:cs="Tahoma"/>
          <w:sz w:val="24"/>
          <w:szCs w:val="24"/>
        </w:rPr>
        <w:t xml:space="preserve">Licenses </w:t>
      </w:r>
      <w:r w:rsidRPr="00347444">
        <w:rPr>
          <w:rFonts w:ascii="Tahoma" w:hAnsi="Tahoma" w:cs="Tahoma"/>
          <w:sz w:val="24"/>
          <w:szCs w:val="24"/>
        </w:rPr>
        <w:t xml:space="preserve">Of </w:t>
      </w:r>
      <w:r w:rsidRPr="005247BF">
        <w:rPr>
          <w:rFonts w:ascii="Tahoma" w:hAnsi="Tahoma" w:cs="Tahoma"/>
          <w:sz w:val="24"/>
          <w:szCs w:val="24"/>
        </w:rPr>
        <w:t>CBW’s</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CAO</w:t>
      </w:r>
      <w:r>
        <w:rPr>
          <w:rFonts w:ascii="Tahoma" w:hAnsi="Tahoma" w:cs="Tahoma"/>
          <w:sz w:val="24"/>
          <w:szCs w:val="24"/>
        </w:rPr>
        <w:t xml:space="preserve"> </w:t>
      </w:r>
      <w:r w:rsidRPr="00674454">
        <w:rPr>
          <w:rFonts w:ascii="Tahoma" w:hAnsi="Tahoma" w:cs="Tahoma"/>
          <w:sz w:val="24"/>
          <w:szCs w:val="24"/>
        </w:rPr>
        <w:t xml:space="preserve">No. </w:t>
      </w:r>
      <w:r w:rsidRPr="005247BF">
        <w:rPr>
          <w:rFonts w:ascii="Tahoma" w:hAnsi="Tahoma" w:cs="Tahoma"/>
          <w:sz w:val="24"/>
          <w:szCs w:val="24"/>
        </w:rPr>
        <w:t xml:space="preserve"> </w:t>
      </w:r>
      <w:r w:rsidR="00B40848">
        <w:rPr>
          <w:rFonts w:ascii="Tahoma" w:hAnsi="Tahoma" w:cs="Tahoma"/>
          <w:sz w:val="24"/>
          <w:szCs w:val="24"/>
        </w:rPr>
        <w:t>3-2007.</w:t>
      </w:r>
      <w:r w:rsidRPr="00347444">
        <w:rPr>
          <w:rFonts w:ascii="Tahoma" w:hAnsi="Tahoma" w:cs="Tahoma"/>
          <w:sz w:val="24"/>
          <w:szCs w:val="24"/>
        </w:rPr>
        <w:t xml:space="preserve"> Amendments To CAO 4-96 (Creation Of </w:t>
      </w:r>
      <w:r w:rsidRPr="005247BF">
        <w:rPr>
          <w:rFonts w:ascii="Tahoma" w:hAnsi="Tahoma" w:cs="Tahoma"/>
          <w:sz w:val="24"/>
          <w:szCs w:val="24"/>
        </w:rPr>
        <w:t>CBWD</w:t>
      </w:r>
      <w:r w:rsidRPr="00347444">
        <w:rPr>
          <w:rFonts w:ascii="Tahoma" w:hAnsi="Tahoma" w:cs="Tahoma"/>
          <w:sz w:val="24"/>
          <w:szCs w:val="24"/>
        </w:rPr>
        <w:t>)</w:t>
      </w:r>
    </w:p>
    <w:p w:rsidR="00347444" w:rsidRPr="005247BF" w:rsidRDefault="00347444" w:rsidP="005247BF">
      <w:pPr>
        <w:pStyle w:val="ListParagraph"/>
        <w:numPr>
          <w:ilvl w:val="0"/>
          <w:numId w:val="60"/>
        </w:numPr>
        <w:spacing w:before="240" w:after="0" w:line="240" w:lineRule="auto"/>
        <w:contextualSpacing w:val="0"/>
        <w:jc w:val="both"/>
        <w:rPr>
          <w:rFonts w:ascii="Tahoma" w:hAnsi="Tahoma" w:cs="Tahoma"/>
          <w:sz w:val="24"/>
          <w:szCs w:val="24"/>
        </w:rPr>
      </w:pPr>
      <w:r w:rsidRPr="005247BF">
        <w:rPr>
          <w:rFonts w:ascii="Tahoma" w:hAnsi="Tahoma" w:cs="Tahoma"/>
          <w:sz w:val="24"/>
          <w:szCs w:val="24"/>
        </w:rPr>
        <w:t xml:space="preserve">CMO </w:t>
      </w:r>
      <w:r w:rsidRPr="00674454">
        <w:rPr>
          <w:rFonts w:ascii="Tahoma" w:hAnsi="Tahoma" w:cs="Tahoma"/>
          <w:sz w:val="24"/>
          <w:szCs w:val="24"/>
        </w:rPr>
        <w:t xml:space="preserve">No. </w:t>
      </w:r>
      <w:r w:rsidR="00B40848">
        <w:rPr>
          <w:rFonts w:ascii="Tahoma" w:hAnsi="Tahoma" w:cs="Tahoma"/>
          <w:sz w:val="24"/>
          <w:szCs w:val="24"/>
        </w:rPr>
        <w:t>9-2008.</w:t>
      </w:r>
      <w:r w:rsidRPr="00347444">
        <w:rPr>
          <w:rFonts w:ascii="Tahoma" w:hAnsi="Tahoma" w:cs="Tahoma"/>
          <w:sz w:val="24"/>
          <w:szCs w:val="24"/>
        </w:rPr>
        <w:t xml:space="preserve"> Addendum To </w:t>
      </w:r>
      <w:r w:rsidR="00B40848" w:rsidRPr="00347444">
        <w:rPr>
          <w:rFonts w:ascii="Tahoma" w:hAnsi="Tahoma" w:cs="Tahoma"/>
          <w:sz w:val="24"/>
          <w:szCs w:val="24"/>
        </w:rPr>
        <w:t xml:space="preserve">CMO </w:t>
      </w:r>
      <w:r w:rsidRPr="00347444">
        <w:rPr>
          <w:rFonts w:ascii="Tahoma" w:hAnsi="Tahoma" w:cs="Tahoma"/>
          <w:sz w:val="24"/>
          <w:szCs w:val="24"/>
        </w:rPr>
        <w:t xml:space="preserve">7-2008 Amending </w:t>
      </w:r>
      <w:r w:rsidR="00B40848" w:rsidRPr="00347444">
        <w:rPr>
          <w:rFonts w:ascii="Tahoma" w:hAnsi="Tahoma" w:cs="Tahoma"/>
          <w:sz w:val="24"/>
          <w:szCs w:val="24"/>
        </w:rPr>
        <w:t xml:space="preserve">CMO </w:t>
      </w:r>
      <w:r w:rsidR="00C9050A">
        <w:rPr>
          <w:rFonts w:ascii="Tahoma" w:hAnsi="Tahoma" w:cs="Tahoma"/>
          <w:sz w:val="24"/>
          <w:szCs w:val="24"/>
        </w:rPr>
        <w:t>17-2005 On The Morato</w:t>
      </w:r>
      <w:r w:rsidRPr="00347444">
        <w:rPr>
          <w:rFonts w:ascii="Tahoma" w:hAnsi="Tahoma" w:cs="Tahoma"/>
          <w:sz w:val="24"/>
          <w:szCs w:val="24"/>
        </w:rPr>
        <w:t>rium On Approvals To Establish/Operate Of Dock C</w:t>
      </w:r>
      <w:r>
        <w:rPr>
          <w:rFonts w:ascii="Tahoma" w:hAnsi="Tahoma" w:cs="Tahoma"/>
          <w:sz w:val="24"/>
          <w:szCs w:val="24"/>
        </w:rPr>
        <w:t>Y-CFS</w:t>
      </w:r>
      <w:r w:rsidRPr="00347444">
        <w:rPr>
          <w:rFonts w:ascii="Tahoma" w:hAnsi="Tahoma" w:cs="Tahoma"/>
          <w:sz w:val="24"/>
          <w:szCs w:val="24"/>
        </w:rPr>
        <w:t>, Customs Public, Private Bonded Warehouses, Common Bonded Warehouses And Other Non-Manufacturing Bonded Warehouses/Facilities</w:t>
      </w:r>
    </w:p>
    <w:p w:rsidR="00347444" w:rsidRPr="00347444" w:rsidRDefault="00347444" w:rsidP="005247BF">
      <w:pPr>
        <w:pStyle w:val="ListParagraph2"/>
        <w:numPr>
          <w:ilvl w:val="0"/>
          <w:numId w:val="60"/>
        </w:numPr>
        <w:tabs>
          <w:tab w:val="left" w:pos="1080"/>
        </w:tabs>
        <w:spacing w:before="240" w:after="0" w:line="240" w:lineRule="auto"/>
        <w:ind w:right="78"/>
        <w:contextualSpacing w:val="0"/>
        <w:jc w:val="both"/>
        <w:rPr>
          <w:rFonts w:ascii="Tahoma" w:hAnsi="Tahoma" w:cs="Tahoma"/>
          <w:sz w:val="24"/>
          <w:szCs w:val="24"/>
        </w:rPr>
      </w:pPr>
      <w:r w:rsidRPr="005247BF">
        <w:rPr>
          <w:rFonts w:ascii="Tahoma" w:hAnsi="Tahoma" w:cs="Tahoma"/>
          <w:sz w:val="24"/>
          <w:szCs w:val="24"/>
        </w:rPr>
        <w:t xml:space="preserve">CMO </w:t>
      </w:r>
      <w:r w:rsidR="00616720">
        <w:rPr>
          <w:rFonts w:ascii="Tahoma" w:hAnsi="Tahoma" w:cs="Tahoma"/>
          <w:sz w:val="24"/>
          <w:szCs w:val="24"/>
        </w:rPr>
        <w:t xml:space="preserve">No. </w:t>
      </w:r>
      <w:r w:rsidR="00B40848">
        <w:rPr>
          <w:rFonts w:ascii="Tahoma" w:hAnsi="Tahoma" w:cs="Tahoma"/>
          <w:sz w:val="24"/>
          <w:szCs w:val="24"/>
        </w:rPr>
        <w:t xml:space="preserve">24-2008. </w:t>
      </w:r>
      <w:r w:rsidRPr="005247BF">
        <w:rPr>
          <w:rFonts w:ascii="Tahoma" w:hAnsi="Tahoma" w:cs="Tahoma"/>
          <w:sz w:val="24"/>
          <w:szCs w:val="24"/>
        </w:rPr>
        <w:t xml:space="preserve"> Monitoring The Specific Description Of Articles In The List Of Importable Materials Of Customs Bonded Warehouses</w:t>
      </w:r>
    </w:p>
    <w:p w:rsidR="008A7E17" w:rsidRDefault="00670CEC" w:rsidP="005247BF">
      <w:pPr>
        <w:pStyle w:val="ListParagraph2"/>
        <w:tabs>
          <w:tab w:val="left" w:pos="1080"/>
        </w:tabs>
        <w:spacing w:line="240" w:lineRule="auto"/>
        <w:ind w:left="400" w:right="78"/>
        <w:jc w:val="both"/>
        <w:rPr>
          <w:rFonts w:ascii="Tahoma" w:hAnsi="Tahoma" w:cs="Tahoma"/>
          <w:sz w:val="24"/>
          <w:szCs w:val="24"/>
        </w:rPr>
      </w:pPr>
      <w:r>
        <w:rPr>
          <w:rFonts w:ascii="Tahoma" w:hAnsi="Tahoma" w:cs="Tahoma"/>
          <w:sz w:val="24"/>
          <w:szCs w:val="24"/>
        </w:rPr>
        <w:t xml:space="preserve"> </w:t>
      </w:r>
    </w:p>
    <w:p w:rsidR="00A354D1" w:rsidRPr="005B1BA6" w:rsidRDefault="00670CEC" w:rsidP="005247BF">
      <w:pPr>
        <w:pStyle w:val="ListParagraph2"/>
        <w:numPr>
          <w:ilvl w:val="0"/>
          <w:numId w:val="21"/>
        </w:numPr>
        <w:tabs>
          <w:tab w:val="left" w:pos="1080"/>
        </w:tabs>
        <w:spacing w:line="240" w:lineRule="auto"/>
        <w:ind w:right="78"/>
        <w:jc w:val="both"/>
      </w:pPr>
      <w:r>
        <w:rPr>
          <w:rFonts w:ascii="Tahoma" w:hAnsi="Tahoma" w:cs="Tahoma"/>
          <w:b/>
          <w:sz w:val="24"/>
          <w:szCs w:val="24"/>
          <w:u w:val="single"/>
        </w:rPr>
        <w:t>Webpage, Forms, Handbooks and other References</w:t>
      </w:r>
      <w:r>
        <w:rPr>
          <w:rFonts w:ascii="Tahoma" w:hAnsi="Tahoma" w:cs="Tahoma"/>
          <w:b/>
          <w:sz w:val="24"/>
          <w:szCs w:val="24"/>
        </w:rPr>
        <w:t>.</w:t>
      </w:r>
      <w:r>
        <w:rPr>
          <w:rFonts w:ascii="Tahoma" w:hAnsi="Tahoma" w:cs="Tahoma"/>
          <w:sz w:val="24"/>
          <w:szCs w:val="24"/>
        </w:rPr>
        <w:t xml:space="preserve"> </w:t>
      </w:r>
    </w:p>
    <w:p w:rsidR="002B162E" w:rsidRPr="005247BF" w:rsidRDefault="002B162E" w:rsidP="005247BF">
      <w:pPr>
        <w:pStyle w:val="NoSpacing10"/>
        <w:numPr>
          <w:ilvl w:val="0"/>
          <w:numId w:val="61"/>
        </w:numPr>
        <w:tabs>
          <w:tab w:val="left" w:pos="720"/>
          <w:tab w:val="left" w:pos="1080"/>
        </w:tabs>
        <w:spacing w:after="0" w:line="240" w:lineRule="auto"/>
        <w:contextualSpacing/>
        <w:jc w:val="both"/>
        <w:rPr>
          <w:rFonts w:ascii="Tahoma" w:hAnsi="Tahoma" w:cs="Tahoma"/>
          <w:sz w:val="24"/>
          <w:szCs w:val="24"/>
          <w:lang w:val="en-PH"/>
        </w:rPr>
      </w:pPr>
      <w:r w:rsidRPr="00674454">
        <w:rPr>
          <w:rFonts w:ascii="Tahoma" w:hAnsi="Tahoma" w:cs="Tahoma"/>
          <w:sz w:val="24"/>
          <w:szCs w:val="24"/>
        </w:rPr>
        <w:t>Magna Carta on SMEs, RA 9501</w:t>
      </w:r>
    </w:p>
    <w:p w:rsidR="00B40848" w:rsidRPr="005247BF" w:rsidRDefault="00A354D1" w:rsidP="005247BF">
      <w:pPr>
        <w:pStyle w:val="NoSpacing10"/>
        <w:numPr>
          <w:ilvl w:val="0"/>
          <w:numId w:val="61"/>
        </w:numPr>
        <w:tabs>
          <w:tab w:val="left" w:pos="720"/>
          <w:tab w:val="left" w:pos="1080"/>
        </w:tabs>
        <w:spacing w:after="0" w:line="240" w:lineRule="auto"/>
        <w:contextualSpacing/>
        <w:jc w:val="both"/>
        <w:rPr>
          <w:rStyle w:val="Hyperlink"/>
          <w:rFonts w:ascii="Tahoma" w:hAnsi="Tahoma" w:cs="Tahoma"/>
          <w:color w:val="auto"/>
          <w:sz w:val="24"/>
          <w:szCs w:val="24"/>
          <w:u w:val="none"/>
        </w:rPr>
      </w:pPr>
      <w:r w:rsidRPr="005B1BA6">
        <w:rPr>
          <w:rFonts w:ascii="Tahoma" w:hAnsi="Tahoma" w:cs="Tahoma"/>
          <w:sz w:val="24"/>
          <w:szCs w:val="24"/>
        </w:rPr>
        <w:t>Revised Kyoto Convention</w:t>
      </w:r>
    </w:p>
    <w:p w:rsidR="00B40848" w:rsidRDefault="00B40848" w:rsidP="005247BF">
      <w:pPr>
        <w:pStyle w:val="NoSpacing10"/>
        <w:numPr>
          <w:ilvl w:val="0"/>
          <w:numId w:val="61"/>
        </w:numPr>
        <w:tabs>
          <w:tab w:val="left" w:pos="720"/>
          <w:tab w:val="left" w:pos="1080"/>
        </w:tabs>
        <w:spacing w:after="0"/>
        <w:jc w:val="both"/>
        <w:rPr>
          <w:rFonts w:ascii="Tahoma" w:hAnsi="Tahoma" w:cs="Tahoma"/>
          <w:sz w:val="28"/>
        </w:rPr>
      </w:pPr>
      <w:r w:rsidRPr="005247BF">
        <w:rPr>
          <w:rFonts w:ascii="Tahoma" w:hAnsi="Tahoma" w:cs="Tahoma"/>
          <w:sz w:val="24"/>
          <w:szCs w:val="20"/>
          <w:lang w:eastAsia="en-PH"/>
        </w:rPr>
        <w:t>WCO Safe Framework</w:t>
      </w:r>
    </w:p>
    <w:p w:rsidR="00FA7CB3" w:rsidRPr="005247BF" w:rsidRDefault="00B40848" w:rsidP="005247BF">
      <w:pPr>
        <w:pStyle w:val="NoSpacing10"/>
        <w:numPr>
          <w:ilvl w:val="0"/>
          <w:numId w:val="61"/>
        </w:numPr>
        <w:tabs>
          <w:tab w:val="left" w:pos="720"/>
          <w:tab w:val="left" w:pos="1080"/>
        </w:tabs>
        <w:spacing w:after="0"/>
        <w:jc w:val="both"/>
        <w:rPr>
          <w:rFonts w:ascii="Tahoma" w:hAnsi="Tahoma" w:cs="Tahoma"/>
          <w:sz w:val="28"/>
        </w:rPr>
      </w:pPr>
      <w:r w:rsidRPr="00A3264D">
        <w:rPr>
          <w:rFonts w:ascii="Tahoma" w:hAnsi="Tahoma" w:cs="Tahoma"/>
          <w:sz w:val="24"/>
          <w:szCs w:val="20"/>
          <w:lang w:eastAsia="en-PH"/>
        </w:rPr>
        <w:t xml:space="preserve">Annex 1- </w:t>
      </w:r>
      <w:r w:rsidRPr="005247BF">
        <w:rPr>
          <w:rFonts w:ascii="Tahoma" w:hAnsi="Tahoma" w:cs="Tahoma"/>
          <w:sz w:val="24"/>
          <w:szCs w:val="20"/>
          <w:lang w:eastAsia="en-PH"/>
        </w:rPr>
        <w:t xml:space="preserve">Certificate of Authority Form </w:t>
      </w:r>
    </w:p>
    <w:sectPr w:rsidR="00FA7CB3" w:rsidRPr="005247BF" w:rsidSect="005247BF">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83" w:rsidRDefault="00470983" w:rsidP="008369A0">
      <w:pPr>
        <w:spacing w:after="0" w:line="240" w:lineRule="auto"/>
      </w:pPr>
      <w:r>
        <w:separator/>
      </w:r>
    </w:p>
  </w:endnote>
  <w:endnote w:type="continuationSeparator" w:id="0">
    <w:p w:rsidR="00470983" w:rsidRDefault="00470983" w:rsidP="0083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C3" w:rsidRDefault="00C149C3" w:rsidP="00A61DED">
    <w:pPr>
      <w:pStyle w:val="Footer"/>
      <w:rPr>
        <w:rFonts w:ascii="Tahoma" w:hAnsi="Tahoma" w:cs="Tahoma"/>
        <w:sz w:val="20"/>
        <w:szCs w:val="20"/>
      </w:rPr>
    </w:pPr>
    <w:r>
      <w:rPr>
        <w:rFonts w:ascii="Tahoma" w:hAnsi="Tahoma" w:cs="Tahoma"/>
        <w:sz w:val="20"/>
        <w:szCs w:val="20"/>
      </w:rPr>
      <w:t xml:space="preserve">Page </w:t>
    </w: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5247BF">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of </w:t>
    </w:r>
    <w:r>
      <w:rPr>
        <w:rFonts w:ascii="Tahoma" w:hAnsi="Tahoma" w:cs="Tahoma"/>
        <w:sz w:val="20"/>
        <w:szCs w:val="20"/>
      </w:rPr>
      <w:fldChar w:fldCharType="begin"/>
    </w:r>
    <w:r>
      <w:rPr>
        <w:rFonts w:ascii="Tahoma" w:hAnsi="Tahoma" w:cs="Tahoma"/>
        <w:sz w:val="20"/>
        <w:szCs w:val="20"/>
      </w:rPr>
      <w:instrText xml:space="preserve"> NUMPAGES </w:instrText>
    </w:r>
    <w:r>
      <w:rPr>
        <w:rFonts w:ascii="Tahoma" w:hAnsi="Tahoma" w:cs="Tahoma"/>
        <w:sz w:val="20"/>
        <w:szCs w:val="20"/>
      </w:rPr>
      <w:fldChar w:fldCharType="separate"/>
    </w:r>
    <w:r w:rsidR="005247BF">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 CAO NO. ______________</w:t>
    </w:r>
  </w:p>
  <w:p w:rsidR="00C149C3" w:rsidRDefault="00C14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83" w:rsidRDefault="00470983" w:rsidP="008369A0">
      <w:pPr>
        <w:spacing w:after="0" w:line="240" w:lineRule="auto"/>
      </w:pPr>
      <w:r>
        <w:separator/>
      </w:r>
    </w:p>
  </w:footnote>
  <w:footnote w:type="continuationSeparator" w:id="0">
    <w:p w:rsidR="00470983" w:rsidRDefault="00470983" w:rsidP="008369A0">
      <w:pPr>
        <w:spacing w:after="0" w:line="240" w:lineRule="auto"/>
      </w:pPr>
      <w:r>
        <w:continuationSeparator/>
      </w:r>
    </w:p>
  </w:footnote>
  <w:footnote w:id="1">
    <w:p w:rsidR="00C149C3" w:rsidRPr="008C3336" w:rsidRDefault="00C149C3" w:rsidP="00302885">
      <w:pPr>
        <w:pStyle w:val="Heading2"/>
        <w:numPr>
          <w:ilvl w:val="0"/>
          <w:numId w:val="0"/>
        </w:numPr>
        <w:rPr>
          <w:color w:val="auto"/>
        </w:rPr>
      </w:pPr>
      <w:r w:rsidRPr="008C3336">
        <w:rPr>
          <w:rStyle w:val="FootnoteReference"/>
          <w:color w:val="auto"/>
          <w:sz w:val="20"/>
          <w:szCs w:val="20"/>
        </w:rPr>
        <w:footnoteRef/>
      </w:r>
      <w:r w:rsidRPr="008C3336">
        <w:rPr>
          <w:color w:val="auto"/>
          <w:sz w:val="20"/>
          <w:szCs w:val="20"/>
        </w:rPr>
        <w:t xml:space="preserve"> CMTA, Title I, Chapter 2, Section 102(q).</w:t>
      </w:r>
    </w:p>
  </w:footnote>
  <w:footnote w:id="2">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4C073B">
        <w:rPr>
          <w:rFonts w:ascii="Tahoma" w:hAnsi="Tahoma" w:cs="Tahoma"/>
        </w:rPr>
        <w:t xml:space="preserve"> </w:t>
      </w:r>
      <w:r w:rsidRPr="005247BF">
        <w:rPr>
          <w:rFonts w:ascii="Tahoma" w:hAnsi="Tahoma" w:cs="Tahoma"/>
        </w:rPr>
        <w:t>CAO No. 1-2009</w:t>
      </w:r>
      <w:r w:rsidRPr="004C073B">
        <w:rPr>
          <w:rFonts w:ascii="Tahoma" w:hAnsi="Tahoma" w:cs="Tahoma"/>
        </w:rPr>
        <w:t xml:space="preserve">, </w:t>
      </w:r>
      <w:r w:rsidRPr="005247BF">
        <w:rPr>
          <w:rFonts w:ascii="Tahoma" w:hAnsi="Tahoma" w:cs="Tahoma"/>
        </w:rPr>
        <w:t xml:space="preserve">Title II, </w:t>
      </w:r>
      <w:r w:rsidRPr="004C073B">
        <w:rPr>
          <w:rFonts w:ascii="Tahoma" w:hAnsi="Tahoma" w:cs="Tahoma"/>
        </w:rPr>
        <w:t xml:space="preserve">Section </w:t>
      </w:r>
      <w:r w:rsidRPr="005247BF">
        <w:rPr>
          <w:rFonts w:ascii="Tahoma" w:hAnsi="Tahoma" w:cs="Tahoma"/>
        </w:rPr>
        <w:t>2.11.</w:t>
      </w:r>
    </w:p>
  </w:footnote>
  <w:footnote w:id="3">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0095340E" w:rsidRPr="00636898">
        <w:rPr>
          <w:rFonts w:ascii="Tahoma" w:hAnsi="Tahoma" w:cs="Tahoma"/>
          <w:i/>
        </w:rPr>
        <w:t>cf</w:t>
      </w:r>
      <w:proofErr w:type="spellEnd"/>
      <w:r w:rsidR="0095340E" w:rsidRPr="004C073B">
        <w:rPr>
          <w:rFonts w:ascii="Tahoma" w:hAnsi="Tahoma" w:cs="Tahoma"/>
        </w:rPr>
        <w:t xml:space="preserve"> </w:t>
      </w:r>
      <w:r w:rsidR="0095340E" w:rsidRPr="00636898">
        <w:rPr>
          <w:rFonts w:ascii="Tahoma" w:hAnsi="Tahoma" w:cs="Tahoma"/>
        </w:rPr>
        <w:t>CAO No. 1-2009</w:t>
      </w:r>
      <w:r w:rsidR="0095340E" w:rsidRPr="004C073B">
        <w:rPr>
          <w:rFonts w:ascii="Tahoma" w:hAnsi="Tahoma" w:cs="Tahoma"/>
        </w:rPr>
        <w:t xml:space="preserve">, </w:t>
      </w:r>
      <w:r w:rsidR="0095340E" w:rsidRPr="00636898">
        <w:rPr>
          <w:rFonts w:ascii="Tahoma" w:hAnsi="Tahoma" w:cs="Tahoma"/>
        </w:rPr>
        <w:t xml:space="preserve">Title II, </w:t>
      </w:r>
      <w:r w:rsidR="0095340E" w:rsidRPr="004C073B">
        <w:rPr>
          <w:rFonts w:ascii="Tahoma" w:hAnsi="Tahoma" w:cs="Tahoma"/>
        </w:rPr>
        <w:t xml:space="preserve">Section </w:t>
      </w:r>
      <w:r w:rsidR="0095340E" w:rsidRPr="00636898">
        <w:rPr>
          <w:rFonts w:ascii="Tahoma" w:hAnsi="Tahoma" w:cs="Tahoma"/>
        </w:rPr>
        <w:t>2.11.</w:t>
      </w:r>
    </w:p>
  </w:footnote>
  <w:footnote w:id="4">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CMTA</w:t>
      </w:r>
      <w:r w:rsidRPr="00272E28">
        <w:rPr>
          <w:rFonts w:ascii="Tahoma" w:hAnsi="Tahoma" w:cs="Tahoma"/>
        </w:rPr>
        <w:t>, Title I, Chapter 2, Section 102(r).</w:t>
      </w:r>
    </w:p>
  </w:footnote>
  <w:footnote w:id="5">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CMTA</w:t>
      </w:r>
      <w:r w:rsidRPr="00272E28">
        <w:rPr>
          <w:rFonts w:ascii="Tahoma" w:hAnsi="Tahoma" w:cs="Tahoma"/>
        </w:rPr>
        <w:t>, Title I, Chapter 2, Section 102(s).</w:t>
      </w:r>
    </w:p>
  </w:footnote>
  <w:footnote w:id="6">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CAO No. 1-2009, Title II, Section 2.16.</w:t>
      </w:r>
    </w:p>
  </w:footnote>
  <w:footnote w:id="7">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Pr="005247BF">
        <w:rPr>
          <w:rFonts w:ascii="Tahoma" w:hAnsi="Tahoma" w:cs="Tahoma"/>
          <w:lang w:val="en-US" w:eastAsia="en-PH"/>
        </w:rPr>
        <w:t>CMTA,</w:t>
      </w:r>
      <w:r w:rsidRPr="005247BF">
        <w:rPr>
          <w:rFonts w:ascii="Tahoma" w:hAnsi="Tahoma" w:cs="Tahoma"/>
        </w:rPr>
        <w:t xml:space="preserve"> Title I, Chapter 2, Section 102 (w).</w:t>
      </w:r>
    </w:p>
  </w:footnote>
  <w:footnote w:id="8">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00BD5304" w:rsidRPr="00636898">
        <w:rPr>
          <w:rFonts w:ascii="Tahoma" w:hAnsi="Tahoma" w:cs="Tahoma"/>
          <w:lang w:val="en-US" w:eastAsia="en-PH"/>
        </w:rPr>
        <w:t>CMTA,</w:t>
      </w:r>
      <w:r w:rsidR="00BD5304" w:rsidRPr="00636898">
        <w:rPr>
          <w:rFonts w:ascii="Tahoma" w:hAnsi="Tahoma" w:cs="Tahoma"/>
        </w:rPr>
        <w:t xml:space="preserve"> Title I, Chapter 2, Section 102 </w:t>
      </w:r>
      <w:r w:rsidRPr="005247BF">
        <w:rPr>
          <w:rFonts w:ascii="Tahoma" w:hAnsi="Tahoma" w:cs="Tahoma"/>
        </w:rPr>
        <w:t>(x).</w:t>
      </w:r>
    </w:p>
  </w:footnote>
  <w:footnote w:id="9">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00BD5304" w:rsidRPr="00636898">
        <w:rPr>
          <w:rFonts w:ascii="Tahoma" w:hAnsi="Tahoma" w:cs="Tahoma"/>
          <w:lang w:val="en-US" w:eastAsia="en-PH"/>
        </w:rPr>
        <w:t>CMTA,</w:t>
      </w:r>
      <w:r w:rsidR="00BD5304" w:rsidRPr="00636898">
        <w:rPr>
          <w:rFonts w:ascii="Tahoma" w:hAnsi="Tahoma" w:cs="Tahoma"/>
        </w:rPr>
        <w:t xml:space="preserve"> Title I, Chapter 2, Section 102 </w:t>
      </w:r>
      <w:r w:rsidRPr="005247BF">
        <w:rPr>
          <w:rFonts w:ascii="Tahoma" w:hAnsi="Tahoma" w:cs="Tahoma"/>
        </w:rPr>
        <w:t>(y).</w:t>
      </w:r>
    </w:p>
  </w:footnote>
  <w:footnote w:id="10">
    <w:p w:rsidR="00C149C3" w:rsidRDefault="00C149C3">
      <w:pPr>
        <w:pStyle w:val="FootnoteText"/>
      </w:pPr>
      <w:r w:rsidRPr="005247BF">
        <w:rPr>
          <w:rStyle w:val="FootnoteReference"/>
          <w:rFonts w:ascii="Tahoma" w:hAnsi="Tahoma" w:cs="Tahoma"/>
        </w:rPr>
        <w:footnoteRef/>
      </w:r>
      <w:r w:rsidR="00BD5304">
        <w:rPr>
          <w:rFonts w:ascii="Tahoma" w:hAnsi="Tahoma" w:cs="Tahoma"/>
          <w:lang w:val="en-US" w:eastAsia="en-PH"/>
        </w:rPr>
        <w:t xml:space="preserve"> </w:t>
      </w:r>
      <w:r w:rsidR="00BD5304" w:rsidRPr="00636898">
        <w:rPr>
          <w:rFonts w:ascii="Tahoma" w:hAnsi="Tahoma" w:cs="Tahoma"/>
          <w:lang w:val="en-US" w:eastAsia="en-PH"/>
        </w:rPr>
        <w:t>CMTA,</w:t>
      </w:r>
      <w:r w:rsidR="00BD5304" w:rsidRPr="00636898">
        <w:rPr>
          <w:rFonts w:ascii="Tahoma" w:hAnsi="Tahoma" w:cs="Tahoma"/>
        </w:rPr>
        <w:t xml:space="preserve"> Title I, Chapter 2, Section 102 </w:t>
      </w:r>
      <w:r w:rsidRPr="005247BF">
        <w:rPr>
          <w:rFonts w:ascii="Tahoma" w:hAnsi="Tahoma" w:cs="Tahoma"/>
        </w:rPr>
        <w:t>(z).</w:t>
      </w:r>
    </w:p>
  </w:footnote>
  <w:footnote w:id="11">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Pr="005247BF">
        <w:rPr>
          <w:rFonts w:ascii="Tahoma" w:hAnsi="Tahoma" w:cs="Tahoma"/>
          <w:lang w:val="en-US" w:eastAsia="en-PH"/>
        </w:rPr>
        <w:t>CMTA,</w:t>
      </w:r>
      <w:r w:rsidRPr="005247BF">
        <w:rPr>
          <w:rFonts w:ascii="Tahoma" w:hAnsi="Tahoma" w:cs="Tahoma"/>
        </w:rPr>
        <w:t xml:space="preserve"> Title I, Chapter 2, Section 102</w:t>
      </w:r>
      <w:r>
        <w:rPr>
          <w:rFonts w:ascii="Tahoma" w:hAnsi="Tahoma" w:cs="Tahoma"/>
        </w:rPr>
        <w:t xml:space="preserve"> </w:t>
      </w:r>
      <w:r w:rsidRPr="005247BF">
        <w:rPr>
          <w:rFonts w:ascii="Tahoma" w:hAnsi="Tahoma" w:cs="Tahoma"/>
        </w:rPr>
        <w:t>(</w:t>
      </w:r>
      <w:proofErr w:type="spellStart"/>
      <w:r w:rsidRPr="005247BF">
        <w:rPr>
          <w:rFonts w:ascii="Tahoma" w:hAnsi="Tahoma" w:cs="Tahoma"/>
        </w:rPr>
        <w:t>dd</w:t>
      </w:r>
      <w:proofErr w:type="spellEnd"/>
      <w:r w:rsidRPr="005247BF">
        <w:rPr>
          <w:rFonts w:ascii="Tahoma" w:hAnsi="Tahoma" w:cs="Tahoma"/>
        </w:rPr>
        <w:t>).</w:t>
      </w:r>
    </w:p>
  </w:footnote>
  <w:footnote w:id="12">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005B103F" w:rsidRPr="00636898">
        <w:rPr>
          <w:rFonts w:ascii="Tahoma" w:hAnsi="Tahoma" w:cs="Tahoma"/>
          <w:lang w:val="en-US" w:eastAsia="en-PH"/>
        </w:rPr>
        <w:t>CMTA,</w:t>
      </w:r>
      <w:r w:rsidR="005B103F" w:rsidRPr="00636898">
        <w:rPr>
          <w:rFonts w:ascii="Tahoma" w:hAnsi="Tahoma" w:cs="Tahoma"/>
        </w:rPr>
        <w:t xml:space="preserve"> Title I, Chapter 2, Section 102</w:t>
      </w:r>
      <w:r w:rsidR="005B103F">
        <w:rPr>
          <w:rFonts w:ascii="Tahoma" w:hAnsi="Tahoma" w:cs="Tahoma"/>
        </w:rPr>
        <w:t xml:space="preserve"> </w:t>
      </w:r>
      <w:r w:rsidRPr="005247BF">
        <w:rPr>
          <w:rFonts w:ascii="Tahoma" w:hAnsi="Tahoma" w:cs="Tahoma"/>
        </w:rPr>
        <w:t>(gg).</w:t>
      </w:r>
    </w:p>
  </w:footnote>
  <w:footnote w:id="13">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Pr="005247BF">
        <w:rPr>
          <w:rFonts w:ascii="Tahoma" w:hAnsi="Tahoma" w:cs="Tahoma"/>
          <w:lang w:val="en-US" w:eastAsia="en-PH"/>
        </w:rPr>
        <w:t>RKC and WCO Safe Framework</w:t>
      </w:r>
    </w:p>
  </w:footnote>
  <w:footnote w:id="14">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005B103F" w:rsidRPr="00636898">
        <w:rPr>
          <w:rFonts w:ascii="Tahoma" w:hAnsi="Tahoma" w:cs="Tahoma"/>
          <w:lang w:val="en-US" w:eastAsia="en-PH"/>
        </w:rPr>
        <w:t>CMTA,</w:t>
      </w:r>
      <w:r w:rsidR="005B103F" w:rsidRPr="00636898">
        <w:rPr>
          <w:rFonts w:ascii="Tahoma" w:hAnsi="Tahoma" w:cs="Tahoma"/>
        </w:rPr>
        <w:t xml:space="preserve"> Title I, Chapter 2, Section 102</w:t>
      </w:r>
      <w:r w:rsidR="005B103F">
        <w:rPr>
          <w:rFonts w:ascii="Tahoma" w:hAnsi="Tahoma" w:cs="Tahoma"/>
        </w:rPr>
        <w:t xml:space="preserve"> </w:t>
      </w:r>
      <w:r w:rsidRPr="005247BF">
        <w:rPr>
          <w:rFonts w:ascii="Tahoma" w:hAnsi="Tahoma" w:cs="Tahoma"/>
        </w:rPr>
        <w:t>(mm).</w:t>
      </w:r>
    </w:p>
  </w:footnote>
  <w:footnote w:id="15">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Revised Kyoto Convention (RKC), Specific Annex D, Chapter 1, Standard 3.</w:t>
      </w:r>
    </w:p>
  </w:footnote>
  <w:footnote w:id="16">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CMTA, Title VIII, Chapter 2, Section 801.</w:t>
      </w:r>
    </w:p>
  </w:footnote>
  <w:footnote w:id="17">
    <w:p w:rsidR="00C149C3" w:rsidRPr="00A3264D" w:rsidRDefault="00C149C3" w:rsidP="005247BF">
      <w:pPr>
        <w:pStyle w:val="Heading2"/>
        <w:numPr>
          <w:ilvl w:val="0"/>
          <w:numId w:val="0"/>
        </w:numPr>
        <w:contextualSpacing/>
      </w:pPr>
      <w:r w:rsidRPr="005247BF">
        <w:rPr>
          <w:rStyle w:val="FootnoteReference"/>
          <w:color w:val="auto"/>
          <w:sz w:val="20"/>
          <w:szCs w:val="20"/>
        </w:rPr>
        <w:footnoteRef/>
      </w:r>
      <w:r w:rsidRPr="005247BF">
        <w:rPr>
          <w:color w:val="auto"/>
          <w:sz w:val="20"/>
          <w:szCs w:val="20"/>
        </w:rPr>
        <w:t xml:space="preserve"> RKC, Specific Annex D, Chapter 1, Standard 4.</w:t>
      </w:r>
    </w:p>
  </w:footnote>
  <w:footnote w:id="18">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CMTA, Title VIII, Chapter 3, Section 817.</w:t>
      </w:r>
    </w:p>
  </w:footnote>
  <w:footnote w:id="19">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CMTA, Title VIII, Chapter 2, </w:t>
      </w:r>
      <w:r w:rsidRPr="005247BF">
        <w:rPr>
          <w:rFonts w:ascii="Tahoma" w:hAnsi="Tahoma" w:cs="Tahoma"/>
        </w:rPr>
        <w:t>Section 802.</w:t>
      </w:r>
    </w:p>
  </w:footnote>
  <w:footnote w:id="20">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rPr>
        <w:t>cf</w:t>
      </w:r>
      <w:proofErr w:type="spellEnd"/>
      <w:r w:rsidRPr="005247BF">
        <w:rPr>
          <w:rFonts w:ascii="Tahoma" w:hAnsi="Tahoma" w:cs="Tahoma"/>
        </w:rPr>
        <w:t xml:space="preserve"> CAO No. 1-2009, Title III, Section 3.3.6.</w:t>
      </w:r>
    </w:p>
  </w:footnote>
  <w:footnote w:id="21">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III, Section 3.3.3.</w:t>
      </w:r>
    </w:p>
  </w:footnote>
  <w:footnote w:id="22">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III, Section 3.3.5.</w:t>
      </w:r>
    </w:p>
  </w:footnote>
  <w:footnote w:id="23">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III, Section 3.3.9.</w:t>
      </w:r>
    </w:p>
  </w:footnote>
  <w:footnote w:id="24">
    <w:p w:rsidR="00C149C3" w:rsidRPr="00E8516E" w:rsidRDefault="00C149C3" w:rsidP="000831BD">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III, Section 3.3.8.</w:t>
      </w:r>
    </w:p>
    <w:p w:rsidR="00C149C3" w:rsidRPr="005247BF" w:rsidRDefault="00C149C3">
      <w:pPr>
        <w:pStyle w:val="FootnoteText"/>
        <w:rPr>
          <w:b/>
        </w:rPr>
      </w:pPr>
    </w:p>
  </w:footnote>
  <w:footnote w:id="25">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bCs/>
          <w:i/>
        </w:rPr>
        <w:t>cf</w:t>
      </w:r>
      <w:proofErr w:type="spellEnd"/>
      <w:r w:rsidRPr="005247BF">
        <w:rPr>
          <w:rFonts w:ascii="Tahoma" w:hAnsi="Tahoma" w:cs="Tahoma"/>
          <w:bCs/>
        </w:rPr>
        <w:t xml:space="preserve"> </w:t>
      </w:r>
      <w:r w:rsidRPr="005247BF">
        <w:rPr>
          <w:rFonts w:ascii="Tahoma" w:hAnsi="Tahoma" w:cs="Tahoma"/>
        </w:rPr>
        <w:t>CAO No. 1-2009, Title IV, Section 4.7.</w:t>
      </w:r>
    </w:p>
  </w:footnote>
  <w:footnote w:id="26">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Pr>
          <w:rFonts w:ascii="Tahoma" w:hAnsi="Tahoma" w:cs="Tahoma"/>
        </w:rPr>
        <w:t xml:space="preserve"> CMTA, Title VIII, Chapter 2, Section</w:t>
      </w:r>
      <w:r w:rsidRPr="005247BF">
        <w:rPr>
          <w:rFonts w:ascii="Tahoma" w:hAnsi="Tahoma" w:cs="Tahoma"/>
        </w:rPr>
        <w:t xml:space="preserve"> 803, par. 2.</w:t>
      </w:r>
    </w:p>
  </w:footnote>
  <w:footnote w:id="27">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204F88">
        <w:rPr>
          <w:rFonts w:ascii="Tahoma" w:hAnsi="Tahoma" w:cs="Tahoma"/>
        </w:rPr>
        <w:t xml:space="preserve"> </w:t>
      </w:r>
      <w:proofErr w:type="spellStart"/>
      <w:r w:rsidRPr="005247BF">
        <w:rPr>
          <w:rFonts w:ascii="Tahoma" w:hAnsi="Tahoma" w:cs="Tahoma"/>
          <w:bCs/>
          <w:i/>
        </w:rPr>
        <w:t>cf</w:t>
      </w:r>
      <w:proofErr w:type="spellEnd"/>
      <w:r w:rsidRPr="005247BF">
        <w:rPr>
          <w:rFonts w:ascii="Tahoma" w:hAnsi="Tahoma" w:cs="Tahoma"/>
          <w:bCs/>
        </w:rPr>
        <w:t xml:space="preserve"> </w:t>
      </w:r>
      <w:r w:rsidRPr="005247BF">
        <w:rPr>
          <w:rFonts w:ascii="Tahoma" w:hAnsi="Tahoma" w:cs="Tahoma"/>
        </w:rPr>
        <w:t>CAO No. 1-2009, Title IV, Sections 4.1 and 4.2.</w:t>
      </w:r>
    </w:p>
  </w:footnote>
  <w:footnote w:id="28">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CMO No. 39-91</w:t>
      </w:r>
    </w:p>
  </w:footnote>
  <w:footnote w:id="29">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IV, Section 4.3.</w:t>
      </w:r>
    </w:p>
  </w:footnote>
  <w:footnote w:id="30">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szCs w:val="24"/>
        </w:rPr>
        <w:t>cf</w:t>
      </w:r>
      <w:proofErr w:type="spellEnd"/>
      <w:r w:rsidRPr="005247BF">
        <w:rPr>
          <w:rFonts w:ascii="Tahoma" w:hAnsi="Tahoma" w:cs="Tahoma"/>
          <w:szCs w:val="24"/>
        </w:rPr>
        <w:t xml:space="preserve"> CAO No. 1-2009, Title IV, Section 4.4.</w:t>
      </w:r>
    </w:p>
  </w:footnote>
  <w:footnote w:id="31">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szCs w:val="24"/>
        </w:rPr>
        <w:t>cf</w:t>
      </w:r>
      <w:proofErr w:type="spellEnd"/>
      <w:r w:rsidRPr="005247BF">
        <w:rPr>
          <w:rFonts w:ascii="Tahoma" w:hAnsi="Tahoma" w:cs="Tahoma"/>
          <w:szCs w:val="24"/>
        </w:rPr>
        <w:t xml:space="preserve"> CAO No. 1-2009, Title IV, Section 4.5.</w:t>
      </w:r>
    </w:p>
  </w:footnote>
  <w:footnote w:id="32">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00C27C1F" w:rsidRPr="00636898">
        <w:rPr>
          <w:rFonts w:ascii="Tahoma" w:hAnsi="Tahoma" w:cs="Tahoma"/>
          <w:i/>
          <w:szCs w:val="24"/>
        </w:rPr>
        <w:t>cf</w:t>
      </w:r>
      <w:proofErr w:type="spellEnd"/>
      <w:r w:rsidR="00C27C1F" w:rsidRPr="00636898">
        <w:rPr>
          <w:rFonts w:ascii="Tahoma" w:hAnsi="Tahoma" w:cs="Tahoma"/>
          <w:szCs w:val="24"/>
        </w:rPr>
        <w:t xml:space="preserve"> </w:t>
      </w:r>
      <w:r w:rsidRPr="005247BF">
        <w:rPr>
          <w:rFonts w:ascii="Tahoma" w:hAnsi="Tahoma" w:cs="Tahoma"/>
          <w:szCs w:val="24"/>
        </w:rPr>
        <w:t xml:space="preserve">CAO No. 1-2009 </w:t>
      </w:r>
    </w:p>
  </w:footnote>
  <w:footnote w:id="33">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00C27C1F" w:rsidRPr="00636898">
        <w:rPr>
          <w:rFonts w:ascii="Tahoma" w:hAnsi="Tahoma" w:cs="Tahoma"/>
          <w:i/>
          <w:szCs w:val="24"/>
        </w:rPr>
        <w:t>cf</w:t>
      </w:r>
      <w:proofErr w:type="spellEnd"/>
      <w:r w:rsidR="00C27C1F" w:rsidRPr="00636898">
        <w:rPr>
          <w:rFonts w:ascii="Tahoma" w:hAnsi="Tahoma" w:cs="Tahoma"/>
          <w:szCs w:val="24"/>
        </w:rPr>
        <w:t xml:space="preserve"> </w:t>
      </w:r>
      <w:r w:rsidRPr="005247BF">
        <w:rPr>
          <w:rFonts w:ascii="Tahoma" w:hAnsi="Tahoma" w:cs="Tahoma"/>
          <w:szCs w:val="24"/>
        </w:rPr>
        <w:t>CAO No. 1-2009</w:t>
      </w:r>
    </w:p>
  </w:footnote>
  <w:footnote w:id="34">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00C27C1F" w:rsidRPr="00636898">
        <w:rPr>
          <w:rFonts w:ascii="Tahoma" w:hAnsi="Tahoma" w:cs="Tahoma"/>
          <w:i/>
          <w:szCs w:val="24"/>
        </w:rPr>
        <w:t>cf</w:t>
      </w:r>
      <w:proofErr w:type="spellEnd"/>
      <w:r w:rsidR="00C27C1F" w:rsidRPr="00636898">
        <w:rPr>
          <w:rFonts w:ascii="Tahoma" w:hAnsi="Tahoma" w:cs="Tahoma"/>
          <w:szCs w:val="24"/>
        </w:rPr>
        <w:t xml:space="preserve"> </w:t>
      </w:r>
      <w:r w:rsidRPr="005247BF">
        <w:rPr>
          <w:rFonts w:ascii="Tahoma" w:hAnsi="Tahoma" w:cs="Tahoma"/>
          <w:szCs w:val="24"/>
        </w:rPr>
        <w:t>CAO No. 1-2009</w:t>
      </w:r>
    </w:p>
  </w:footnote>
  <w:footnote w:id="35">
    <w:p w:rsidR="00C149C3" w:rsidRPr="005247BF" w:rsidRDefault="00C149C3" w:rsidP="005247BF">
      <w:pPr>
        <w:pStyle w:val="SubLettering"/>
        <w:numPr>
          <w:ilvl w:val="0"/>
          <w:numId w:val="0"/>
        </w:numPr>
        <w:spacing w:after="0" w:line="240" w:lineRule="auto"/>
        <w:contextualSpacing/>
        <w:rPr>
          <w:color w:val="auto"/>
        </w:rPr>
      </w:pPr>
      <w:r w:rsidRPr="005247BF">
        <w:rPr>
          <w:rStyle w:val="FootnoteReference"/>
          <w:sz w:val="20"/>
          <w:szCs w:val="20"/>
        </w:rPr>
        <w:footnoteRef/>
      </w:r>
      <w:r w:rsidRPr="005247BF">
        <w:rPr>
          <w:sz w:val="20"/>
          <w:szCs w:val="20"/>
        </w:rPr>
        <w:t xml:space="preserve"> </w:t>
      </w:r>
      <w:proofErr w:type="spellStart"/>
      <w:r w:rsidRPr="005247BF">
        <w:rPr>
          <w:i/>
          <w:color w:val="auto"/>
          <w:sz w:val="20"/>
          <w:szCs w:val="20"/>
        </w:rPr>
        <w:t>cf</w:t>
      </w:r>
      <w:proofErr w:type="spellEnd"/>
      <w:r w:rsidRPr="005247BF">
        <w:rPr>
          <w:color w:val="auto"/>
          <w:sz w:val="20"/>
          <w:szCs w:val="20"/>
        </w:rPr>
        <w:t xml:space="preserve"> Magna Carta on SMEs, RA 9501</w:t>
      </w:r>
    </w:p>
  </w:footnote>
  <w:footnote w:id="36">
    <w:p w:rsidR="00C149C3" w:rsidRPr="005247BF" w:rsidRDefault="00C149C3" w:rsidP="005247BF">
      <w:pPr>
        <w:pStyle w:val="FootnoteText"/>
        <w:contextualSpacing/>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Magna Carta on SMEs, RA 9501</w:t>
      </w:r>
    </w:p>
  </w:footnote>
  <w:footnote w:id="37">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w:t>
      </w:r>
      <w:r>
        <w:rPr>
          <w:rFonts w:ascii="Tahoma" w:hAnsi="Tahoma" w:cs="Tahoma"/>
        </w:rPr>
        <w:t xml:space="preserve">CAO No. 1-2009, </w:t>
      </w:r>
      <w:r w:rsidRPr="005247BF">
        <w:rPr>
          <w:rFonts w:ascii="Tahoma" w:hAnsi="Tahoma" w:cs="Tahoma"/>
        </w:rPr>
        <w:t>Title IV, Section 4.2.</w:t>
      </w:r>
    </w:p>
  </w:footnote>
  <w:footnote w:id="38">
    <w:p w:rsidR="00C149C3" w:rsidRPr="00D272FC" w:rsidRDefault="00C149C3" w:rsidP="00B5588A">
      <w:pPr>
        <w:pStyle w:val="FootnoteText"/>
        <w:rPr>
          <w:rFonts w:ascii="Tahoma" w:hAnsi="Tahoma" w:cs="Tahoma"/>
        </w:rPr>
      </w:pPr>
      <w:r w:rsidRPr="00D272FC">
        <w:rPr>
          <w:rStyle w:val="FootnoteReference"/>
          <w:rFonts w:ascii="Tahoma" w:hAnsi="Tahoma" w:cs="Tahoma"/>
        </w:rPr>
        <w:footnoteRef/>
      </w:r>
      <w:r w:rsidRPr="00D272FC">
        <w:rPr>
          <w:rFonts w:ascii="Tahoma" w:hAnsi="Tahoma" w:cs="Tahoma"/>
        </w:rPr>
        <w:t xml:space="preserve"> </w:t>
      </w:r>
      <w:proofErr w:type="spellStart"/>
      <w:r w:rsidRPr="00D272FC">
        <w:rPr>
          <w:rFonts w:ascii="Tahoma" w:hAnsi="Tahoma" w:cs="Tahoma"/>
          <w:bCs/>
          <w:i/>
        </w:rPr>
        <w:t>cf</w:t>
      </w:r>
      <w:proofErr w:type="spellEnd"/>
      <w:r w:rsidRPr="00D272FC">
        <w:rPr>
          <w:rFonts w:ascii="Tahoma" w:hAnsi="Tahoma" w:cs="Tahoma"/>
          <w:bCs/>
        </w:rPr>
        <w:t xml:space="preserve"> </w:t>
      </w:r>
      <w:r w:rsidRPr="00D272FC">
        <w:rPr>
          <w:rFonts w:ascii="Tahoma" w:hAnsi="Tahoma" w:cs="Tahoma"/>
        </w:rPr>
        <w:t>CAO No. 1-2009, Title V, Section 5.3.</w:t>
      </w:r>
    </w:p>
  </w:footnote>
  <w:footnote w:id="39">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2154FF">
        <w:rPr>
          <w:rFonts w:ascii="Tahoma" w:hAnsi="Tahoma" w:cs="Tahoma"/>
          <w:i/>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IV, Section 4.12.</w:t>
      </w:r>
    </w:p>
  </w:footnote>
  <w:footnote w:id="40">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CAO No. 1-2009, Title IV, Section 4.7.</w:t>
      </w:r>
    </w:p>
  </w:footnote>
  <w:footnote w:id="41">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00F9009D" w:rsidRPr="00636898">
        <w:rPr>
          <w:rFonts w:ascii="Tahoma" w:hAnsi="Tahoma" w:cs="Tahoma"/>
          <w:i/>
        </w:rPr>
        <w:t>cf</w:t>
      </w:r>
      <w:proofErr w:type="spellEnd"/>
      <w:r w:rsidR="00F9009D" w:rsidRPr="00636898">
        <w:rPr>
          <w:rFonts w:ascii="Tahoma" w:hAnsi="Tahoma" w:cs="Tahoma"/>
        </w:rPr>
        <w:t xml:space="preserve"> CAO No. 1-2009, Title IV, Section 4.7.</w:t>
      </w:r>
    </w:p>
  </w:footnote>
  <w:footnote w:id="42">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4.8</w:t>
      </w:r>
      <w:r w:rsidRPr="00674454">
        <w:rPr>
          <w:rFonts w:ascii="Tahoma" w:hAnsi="Tahoma" w:cs="Tahoma"/>
        </w:rPr>
        <w:t>.</w:t>
      </w:r>
    </w:p>
  </w:footnote>
  <w:footnote w:id="43">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4.9</w:t>
      </w:r>
      <w:r w:rsidRPr="00674454">
        <w:rPr>
          <w:rFonts w:ascii="Tahoma" w:hAnsi="Tahoma" w:cs="Tahoma"/>
        </w:rPr>
        <w:t>.</w:t>
      </w:r>
    </w:p>
  </w:footnote>
  <w:footnote w:id="44">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4.10</w:t>
      </w:r>
      <w:r w:rsidRPr="00674454">
        <w:rPr>
          <w:rFonts w:ascii="Tahoma" w:hAnsi="Tahoma" w:cs="Tahoma"/>
        </w:rPr>
        <w:t>.</w:t>
      </w:r>
    </w:p>
  </w:footnote>
  <w:footnote w:id="45">
    <w:p w:rsidR="00C149C3" w:rsidRPr="005247BF" w:rsidRDefault="00C149C3">
      <w:pPr>
        <w:pStyle w:val="FootnoteText"/>
        <w:rPr>
          <w:rFonts w:ascii="Tahoma" w:hAnsi="Tahoma" w:cs="Tahoma"/>
        </w:rPr>
      </w:pPr>
      <w:r w:rsidRPr="005247BF">
        <w:rPr>
          <w:rStyle w:val="FootnoteReference"/>
          <w:rFonts w:ascii="Tahoma" w:hAnsi="Tahoma" w:cs="Tahoma"/>
        </w:rPr>
        <w:footnoteRef/>
      </w:r>
      <w:r>
        <w:rPr>
          <w:rFonts w:ascii="Tahoma" w:hAnsi="Tahoma" w:cs="Tahoma"/>
        </w:rPr>
        <w:t xml:space="preserve"> </w:t>
      </w:r>
      <w:r w:rsidRPr="005247BF">
        <w:rPr>
          <w:rFonts w:ascii="Tahoma" w:hAnsi="Tahoma" w:cs="Tahoma"/>
        </w:rPr>
        <w:t>CMTA, Title VIII, Chapter 2, Section 813, par.2.</w:t>
      </w:r>
    </w:p>
  </w:footnote>
  <w:footnote w:id="46">
    <w:p w:rsidR="00C149C3" w:rsidRDefault="00C149C3">
      <w:pPr>
        <w:pStyle w:val="FootnoteText"/>
      </w:pPr>
      <w:r>
        <w:rPr>
          <w:rStyle w:val="FootnoteReference"/>
        </w:rPr>
        <w:footnoteRef/>
      </w:r>
      <w:r>
        <w:t xml:space="preserve">  </w:t>
      </w:r>
      <w:r w:rsidRPr="00D272FC">
        <w:rPr>
          <w:rFonts w:ascii="Tahoma" w:hAnsi="Tahoma" w:cs="Tahoma"/>
        </w:rPr>
        <w:t>CMTA, Title VIII, Chapter 2</w:t>
      </w:r>
      <w:r>
        <w:rPr>
          <w:rFonts w:ascii="Tahoma" w:hAnsi="Tahoma" w:cs="Tahoma"/>
        </w:rPr>
        <w:t>, Section 805, par.2.</w:t>
      </w:r>
    </w:p>
  </w:footnote>
  <w:footnote w:id="47">
    <w:p w:rsidR="00C149C3" w:rsidRDefault="00C149C3">
      <w:pPr>
        <w:pStyle w:val="FootnoteText"/>
      </w:pPr>
      <w:r>
        <w:rPr>
          <w:rStyle w:val="FootnoteReference"/>
        </w:rPr>
        <w:footnoteRef/>
      </w:r>
      <w:r>
        <w:t xml:space="preserve">  </w:t>
      </w:r>
      <w:proofErr w:type="spellStart"/>
      <w:r w:rsidRPr="00674454">
        <w:rPr>
          <w:rFonts w:ascii="Tahoma" w:hAnsi="Tahoma" w:cs="Tahoma"/>
          <w:i/>
        </w:rPr>
        <w:t>cf</w:t>
      </w:r>
      <w:proofErr w:type="spellEnd"/>
      <w:r w:rsidRPr="00674454">
        <w:rPr>
          <w:rFonts w:ascii="Tahoma" w:hAnsi="Tahoma" w:cs="Tahoma"/>
        </w:rPr>
        <w:t xml:space="preserve"> </w:t>
      </w:r>
      <w:r w:rsidRPr="00D272FC">
        <w:rPr>
          <w:rFonts w:ascii="Tahoma" w:hAnsi="Tahoma" w:cs="Tahoma"/>
        </w:rPr>
        <w:t>CMTA, Title VIII, Chapter 2, Section 813, par.2.</w:t>
      </w:r>
    </w:p>
  </w:footnote>
  <w:footnote w:id="48">
    <w:p w:rsidR="00C149C3" w:rsidRPr="005247BF" w:rsidRDefault="00C149C3">
      <w:pPr>
        <w:pStyle w:val="FootnoteText"/>
        <w:rPr>
          <w:rFonts w:ascii="Tahoma" w:hAnsi="Tahoma" w:cs="Tahoma"/>
        </w:rPr>
      </w:pPr>
      <w:r w:rsidRPr="005247BF">
        <w:rPr>
          <w:rStyle w:val="FootnoteReference"/>
          <w:rFonts w:ascii="Tahoma" w:hAnsi="Tahoma" w:cs="Tahoma"/>
        </w:rPr>
        <w:footnoteRef/>
      </w:r>
      <w:r>
        <w:rPr>
          <w:rFonts w:ascii="Tahoma" w:hAnsi="Tahoma" w:cs="Tahoma"/>
          <w:i/>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4.14</w:t>
      </w:r>
      <w:r w:rsidRPr="00674454">
        <w:rPr>
          <w:rFonts w:ascii="Tahoma" w:hAnsi="Tahoma" w:cs="Tahoma"/>
        </w:rPr>
        <w:t>.</w:t>
      </w:r>
    </w:p>
  </w:footnote>
  <w:footnote w:id="49">
    <w:p w:rsidR="005C710A" w:rsidRPr="00D272FC" w:rsidRDefault="005C710A" w:rsidP="005C710A">
      <w:pPr>
        <w:pStyle w:val="FootnoteText"/>
        <w:rPr>
          <w:rFonts w:ascii="Tahoma" w:hAnsi="Tahoma" w:cs="Tahoma"/>
        </w:rPr>
      </w:pPr>
      <w:r w:rsidRPr="00D272FC">
        <w:rPr>
          <w:rStyle w:val="FootnoteReference"/>
          <w:rFonts w:ascii="Tahoma" w:hAnsi="Tahoma" w:cs="Tahoma"/>
        </w:rPr>
        <w:footnoteRef/>
      </w:r>
      <w:r w:rsidRPr="00D272FC">
        <w:rPr>
          <w:rFonts w:ascii="Tahoma" w:hAnsi="Tahoma" w:cs="Tahoma"/>
        </w:rPr>
        <w:t xml:space="preserve"> </w:t>
      </w:r>
      <w:r w:rsidRPr="00674454">
        <w:rPr>
          <w:rFonts w:ascii="Tahoma" w:hAnsi="Tahoma" w:cs="Tahoma"/>
        </w:rPr>
        <w:t>CAO No. 1-2009</w:t>
      </w:r>
      <w:r>
        <w:rPr>
          <w:rFonts w:ascii="Tahoma" w:hAnsi="Tahoma" w:cs="Tahoma"/>
        </w:rPr>
        <w:t>, Title IV, Section 4.18</w:t>
      </w:r>
      <w:r w:rsidRPr="00674454">
        <w:rPr>
          <w:rFonts w:ascii="Tahoma" w:hAnsi="Tahoma" w:cs="Tahoma"/>
        </w:rPr>
        <w:t>.</w:t>
      </w:r>
    </w:p>
  </w:footnote>
  <w:footnote w:id="50">
    <w:p w:rsidR="005C710A" w:rsidRPr="00D272FC" w:rsidRDefault="005C710A" w:rsidP="005C710A">
      <w:pPr>
        <w:pStyle w:val="FootnoteText"/>
        <w:rPr>
          <w:rFonts w:ascii="Tahoma" w:hAnsi="Tahoma" w:cs="Tahoma"/>
        </w:rPr>
      </w:pPr>
      <w:r w:rsidRPr="00D272FC">
        <w:rPr>
          <w:rStyle w:val="FootnoteReference"/>
          <w:rFonts w:ascii="Tahoma" w:hAnsi="Tahoma" w:cs="Tahoma"/>
        </w:rPr>
        <w:footnoteRef/>
      </w:r>
      <w:r w:rsidRPr="00D272FC">
        <w:rPr>
          <w:rFonts w:ascii="Tahoma" w:hAnsi="Tahoma" w:cs="Tahoma"/>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4.19</w:t>
      </w:r>
      <w:r w:rsidRPr="00674454">
        <w:rPr>
          <w:rFonts w:ascii="Tahoma" w:hAnsi="Tahoma" w:cs="Tahoma"/>
        </w:rPr>
        <w:t>.</w:t>
      </w:r>
    </w:p>
  </w:footnote>
  <w:footnote w:id="51">
    <w:p w:rsidR="005C710A" w:rsidRDefault="005C710A" w:rsidP="005C710A">
      <w:pPr>
        <w:pStyle w:val="FootnoteText"/>
      </w:pPr>
      <w:r w:rsidRPr="00D272FC">
        <w:rPr>
          <w:rStyle w:val="FootnoteReference"/>
          <w:rFonts w:ascii="Tahoma" w:hAnsi="Tahoma" w:cs="Tahoma"/>
        </w:rPr>
        <w:footnoteRef/>
      </w:r>
      <w:r w:rsidRPr="00D272FC">
        <w:rPr>
          <w:rFonts w:ascii="Tahoma" w:hAnsi="Tahoma" w:cs="Tahoma"/>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4.20</w:t>
      </w:r>
      <w:r w:rsidRPr="00674454">
        <w:rPr>
          <w:rFonts w:ascii="Tahoma" w:hAnsi="Tahoma" w:cs="Tahoma"/>
        </w:rPr>
        <w:t>.</w:t>
      </w:r>
    </w:p>
  </w:footnote>
  <w:footnote w:id="52">
    <w:p w:rsidR="005C710A" w:rsidRDefault="005C710A" w:rsidP="005C710A">
      <w:pPr>
        <w:pStyle w:val="FootnoteText"/>
      </w:pPr>
      <w:r>
        <w:rPr>
          <w:rStyle w:val="FootnoteReference"/>
        </w:rPr>
        <w:footnoteRef/>
      </w:r>
      <w:r>
        <w:t xml:space="preserve"> </w:t>
      </w:r>
      <w:proofErr w:type="spellStart"/>
      <w:r w:rsidRPr="00674454">
        <w:rPr>
          <w:rFonts w:ascii="Tahoma" w:hAnsi="Tahoma" w:cs="Tahoma"/>
          <w:i/>
        </w:rPr>
        <w:t>cf</w:t>
      </w:r>
      <w:proofErr w:type="spellEnd"/>
      <w:r w:rsidRPr="00674454">
        <w:rPr>
          <w:rFonts w:ascii="Tahoma" w:hAnsi="Tahoma" w:cs="Tahoma"/>
        </w:rPr>
        <w:t xml:space="preserve"> </w:t>
      </w:r>
      <w:r w:rsidRPr="00D272FC">
        <w:rPr>
          <w:rFonts w:ascii="Tahoma" w:hAnsi="Tahoma" w:cs="Tahoma"/>
        </w:rPr>
        <w:t>CMTA, Title VIII, Chapter 2, Section 811, par.1</w:t>
      </w:r>
      <w:r>
        <w:rPr>
          <w:rFonts w:ascii="Tahoma" w:hAnsi="Tahoma" w:cs="Tahoma"/>
        </w:rPr>
        <w:t>, last sentence.</w:t>
      </w:r>
    </w:p>
  </w:footnote>
  <w:footnote w:id="53">
    <w:p w:rsidR="005C710A" w:rsidRDefault="005C710A" w:rsidP="005C710A">
      <w:pPr>
        <w:pStyle w:val="FootnoteText"/>
      </w:pPr>
      <w:r w:rsidRPr="00D272FC">
        <w:rPr>
          <w:rStyle w:val="FootnoteReference"/>
          <w:rFonts w:ascii="Tahoma" w:hAnsi="Tahoma" w:cs="Tahoma"/>
        </w:rPr>
        <w:footnoteRef/>
      </w:r>
      <w:r w:rsidRPr="00D272FC">
        <w:rPr>
          <w:rFonts w:ascii="Tahoma" w:hAnsi="Tahoma" w:cs="Tahoma"/>
        </w:rPr>
        <w:t xml:space="preserve"> </w:t>
      </w:r>
      <w:proofErr w:type="spellStart"/>
      <w:r w:rsidRPr="00674454">
        <w:rPr>
          <w:rFonts w:ascii="Tahoma" w:hAnsi="Tahoma" w:cs="Tahoma"/>
          <w:i/>
        </w:rPr>
        <w:t>cf</w:t>
      </w:r>
      <w:proofErr w:type="spellEnd"/>
      <w:r w:rsidRPr="00674454">
        <w:rPr>
          <w:rFonts w:ascii="Tahoma" w:hAnsi="Tahoma" w:cs="Tahoma"/>
        </w:rPr>
        <w:t xml:space="preserve"> CAO No. 1-2009</w:t>
      </w:r>
      <w:r>
        <w:rPr>
          <w:rFonts w:ascii="Tahoma" w:hAnsi="Tahoma" w:cs="Tahoma"/>
        </w:rPr>
        <w:t>, Title IV, Section 4.16</w:t>
      </w:r>
      <w:r w:rsidRPr="00674454">
        <w:rPr>
          <w:rFonts w:ascii="Tahoma" w:hAnsi="Tahoma" w:cs="Tahoma"/>
        </w:rPr>
        <w:t>.</w:t>
      </w:r>
    </w:p>
  </w:footnote>
  <w:footnote w:id="54">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CMTA, Title VIII, Chapter 2, Section 811</w:t>
      </w:r>
      <w:r w:rsidR="006E2DBD">
        <w:rPr>
          <w:rFonts w:ascii="Tahoma" w:hAnsi="Tahoma" w:cs="Tahoma"/>
        </w:rPr>
        <w:t>.</w:t>
      </w:r>
    </w:p>
  </w:footnote>
  <w:footnote w:id="55">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r w:rsidRPr="00674454">
        <w:rPr>
          <w:rFonts w:ascii="Tahoma" w:hAnsi="Tahoma" w:cs="Tahoma"/>
        </w:rPr>
        <w:t>CMTA, Title VIII, Chapter 2, Section</w:t>
      </w:r>
      <w:r>
        <w:rPr>
          <w:rFonts w:ascii="Tahoma" w:hAnsi="Tahoma" w:cs="Tahoma"/>
        </w:rPr>
        <w:t xml:space="preserve"> 812</w:t>
      </w:r>
      <w:r w:rsidR="006E2DBD">
        <w:rPr>
          <w:rFonts w:ascii="Tahoma" w:hAnsi="Tahoma" w:cs="Tahoma"/>
        </w:rPr>
        <w:t>.</w:t>
      </w:r>
    </w:p>
  </w:footnote>
  <w:footnote w:id="56">
    <w:p w:rsidR="00C149C3" w:rsidRPr="00D272FC" w:rsidRDefault="00C149C3" w:rsidP="00E57677">
      <w:pPr>
        <w:pStyle w:val="FootnoteText"/>
        <w:rPr>
          <w:rFonts w:ascii="Tahoma" w:hAnsi="Tahoma" w:cs="Tahoma"/>
        </w:rPr>
      </w:pPr>
      <w:r w:rsidRPr="00D272FC">
        <w:rPr>
          <w:rStyle w:val="FootnoteReference"/>
          <w:rFonts w:ascii="Tahoma" w:hAnsi="Tahoma" w:cs="Tahoma"/>
        </w:rPr>
        <w:footnoteRef/>
      </w:r>
      <w:r w:rsidRPr="00D272FC">
        <w:rPr>
          <w:rFonts w:ascii="Tahoma" w:hAnsi="Tahoma" w:cs="Tahoma"/>
        </w:rPr>
        <w:t xml:space="preserve"> </w:t>
      </w:r>
      <w:proofErr w:type="spellStart"/>
      <w:r w:rsidRPr="00D272FC">
        <w:rPr>
          <w:rFonts w:ascii="Tahoma" w:hAnsi="Tahoma" w:cs="Tahoma"/>
          <w:bCs/>
          <w:i/>
        </w:rPr>
        <w:t>cf</w:t>
      </w:r>
      <w:proofErr w:type="spellEnd"/>
      <w:r w:rsidRPr="00D272FC">
        <w:rPr>
          <w:rFonts w:ascii="Tahoma" w:hAnsi="Tahoma" w:cs="Tahoma"/>
          <w:bCs/>
        </w:rPr>
        <w:t xml:space="preserve"> </w:t>
      </w:r>
      <w:r w:rsidRPr="00D272FC">
        <w:rPr>
          <w:rFonts w:ascii="Tahoma" w:hAnsi="Tahoma" w:cs="Tahoma"/>
        </w:rPr>
        <w:t>CAO No. 1-2009, Title V, Section 5.7.</w:t>
      </w:r>
    </w:p>
  </w:footnote>
  <w:footnote w:id="57">
    <w:p w:rsidR="00C149C3" w:rsidRDefault="00C149C3">
      <w:pPr>
        <w:pStyle w:val="FootnoteText"/>
      </w:pPr>
      <w:r>
        <w:rPr>
          <w:rStyle w:val="FootnoteReference"/>
        </w:rPr>
        <w:footnoteRef/>
      </w:r>
      <w:r>
        <w:t xml:space="preserve"> </w:t>
      </w:r>
      <w:proofErr w:type="spellStart"/>
      <w:proofErr w:type="gramStart"/>
      <w:r w:rsidRPr="00D272FC">
        <w:rPr>
          <w:rFonts w:ascii="Tahoma" w:hAnsi="Tahoma" w:cs="Tahoma"/>
          <w:i/>
        </w:rPr>
        <w:t>cf</w:t>
      </w:r>
      <w:proofErr w:type="spellEnd"/>
      <w:r>
        <w:t xml:space="preserve"> </w:t>
      </w:r>
      <w:r w:rsidR="00B22362">
        <w:t xml:space="preserve"> </w:t>
      </w:r>
      <w:r w:rsidRPr="005247BF">
        <w:rPr>
          <w:rFonts w:ascii="Tahoma" w:hAnsi="Tahoma" w:cs="Tahoma"/>
        </w:rPr>
        <w:t>CMO</w:t>
      </w:r>
      <w:proofErr w:type="gramEnd"/>
      <w:r w:rsidRPr="005247BF">
        <w:rPr>
          <w:rFonts w:ascii="Tahoma" w:hAnsi="Tahoma" w:cs="Tahoma"/>
        </w:rPr>
        <w:t xml:space="preserve"> 02-2003</w:t>
      </w:r>
      <w:r w:rsidR="00523D79">
        <w:rPr>
          <w:rFonts w:ascii="Tahoma" w:hAnsi="Tahoma" w:cs="Tahoma"/>
        </w:rPr>
        <w:t>.</w:t>
      </w:r>
    </w:p>
  </w:footnote>
  <w:footnote w:id="58">
    <w:p w:rsidR="00C149C3" w:rsidRDefault="00C149C3">
      <w:pPr>
        <w:pStyle w:val="FootnoteText"/>
      </w:pPr>
      <w:r>
        <w:rPr>
          <w:rStyle w:val="FootnoteReference"/>
        </w:rPr>
        <w:footnoteRef/>
      </w:r>
      <w:r>
        <w:t xml:space="preserve"> </w:t>
      </w:r>
      <w:proofErr w:type="spellStart"/>
      <w:proofErr w:type="gramStart"/>
      <w:r w:rsidRPr="005247BF">
        <w:rPr>
          <w:rFonts w:ascii="Tahoma" w:hAnsi="Tahoma" w:cs="Tahoma"/>
          <w:i/>
        </w:rPr>
        <w:t>cf</w:t>
      </w:r>
      <w:proofErr w:type="spellEnd"/>
      <w:r>
        <w:t xml:space="preserve"> </w:t>
      </w:r>
      <w:r w:rsidR="00B22362">
        <w:t xml:space="preserve"> </w:t>
      </w:r>
      <w:r w:rsidRPr="00674454">
        <w:rPr>
          <w:rFonts w:ascii="Tahoma" w:hAnsi="Tahoma" w:cs="Tahoma"/>
        </w:rPr>
        <w:t>CMTA</w:t>
      </w:r>
      <w:proofErr w:type="gramEnd"/>
      <w:r w:rsidRPr="00674454">
        <w:rPr>
          <w:rFonts w:ascii="Tahoma" w:hAnsi="Tahoma" w:cs="Tahoma"/>
        </w:rPr>
        <w:t>, Title VIII, Chapter 2, Section</w:t>
      </w:r>
      <w:r>
        <w:rPr>
          <w:rFonts w:ascii="Tahoma" w:hAnsi="Tahoma" w:cs="Tahoma"/>
        </w:rPr>
        <w:t xml:space="preserve"> 807.</w:t>
      </w:r>
    </w:p>
  </w:footnote>
  <w:footnote w:id="59">
    <w:p w:rsidR="00C149C3" w:rsidRDefault="00C149C3" w:rsidP="001506E1">
      <w:pPr>
        <w:pStyle w:val="FootnoteText"/>
      </w:pPr>
      <w:r w:rsidRPr="00D272FC">
        <w:rPr>
          <w:rStyle w:val="FootnoteReference"/>
          <w:rFonts w:ascii="Tahoma" w:hAnsi="Tahoma" w:cs="Tahoma"/>
        </w:rPr>
        <w:footnoteRef/>
      </w:r>
      <w:r w:rsidRPr="00D272FC">
        <w:rPr>
          <w:rFonts w:ascii="Tahoma" w:hAnsi="Tahoma" w:cs="Tahoma"/>
        </w:rPr>
        <w:t xml:space="preserve"> </w:t>
      </w:r>
      <w:proofErr w:type="spellStart"/>
      <w:r>
        <w:rPr>
          <w:rFonts w:ascii="Tahoma" w:hAnsi="Tahoma" w:cs="Tahoma"/>
          <w:bCs/>
          <w:i/>
        </w:rPr>
        <w:t>cf</w:t>
      </w:r>
      <w:proofErr w:type="spellEnd"/>
      <w:r>
        <w:rPr>
          <w:rFonts w:ascii="Tahoma" w:hAnsi="Tahoma" w:cs="Tahoma"/>
          <w:bCs/>
          <w:i/>
        </w:rPr>
        <w:t xml:space="preserve"> </w:t>
      </w:r>
      <w:r w:rsidRPr="00D272FC">
        <w:rPr>
          <w:rFonts w:ascii="Tahoma" w:hAnsi="Tahoma" w:cs="Tahoma"/>
        </w:rPr>
        <w:t>CAO No. 1-2009, Title</w:t>
      </w:r>
      <w:r>
        <w:rPr>
          <w:rFonts w:ascii="Tahoma" w:hAnsi="Tahoma" w:cs="Tahoma"/>
        </w:rPr>
        <w:t xml:space="preserve"> V,</w:t>
      </w:r>
      <w:r w:rsidRPr="00D272FC">
        <w:rPr>
          <w:rFonts w:ascii="Tahoma" w:hAnsi="Tahoma" w:cs="Tahoma"/>
        </w:rPr>
        <w:t xml:space="preserve"> Section</w:t>
      </w:r>
      <w:r>
        <w:rPr>
          <w:rFonts w:ascii="Tahoma" w:hAnsi="Tahoma" w:cs="Tahoma"/>
        </w:rPr>
        <w:t xml:space="preserve"> 5.4.</w:t>
      </w:r>
    </w:p>
  </w:footnote>
  <w:footnote w:id="60">
    <w:p w:rsidR="00C149C3" w:rsidRPr="00D272FC" w:rsidRDefault="00C149C3" w:rsidP="001506E1">
      <w:pPr>
        <w:pStyle w:val="FootnoteText"/>
        <w:rPr>
          <w:rFonts w:ascii="Tahoma" w:hAnsi="Tahoma" w:cs="Tahoma"/>
        </w:rPr>
      </w:pPr>
      <w:r w:rsidRPr="00D272FC">
        <w:rPr>
          <w:rStyle w:val="FootnoteReference"/>
          <w:rFonts w:ascii="Tahoma" w:hAnsi="Tahoma" w:cs="Tahoma"/>
        </w:rPr>
        <w:footnoteRef/>
      </w:r>
      <w:r w:rsidRPr="00D272FC">
        <w:rPr>
          <w:rFonts w:ascii="Tahoma" w:hAnsi="Tahoma" w:cs="Tahoma"/>
        </w:rPr>
        <w:t xml:space="preserve"> CAO 1-2006, Title V, Section 5.6.</w:t>
      </w:r>
    </w:p>
  </w:footnote>
  <w:footnote w:id="61">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eastAsiaTheme="majorEastAsia" w:hAnsi="Tahoma" w:cs="Tahoma"/>
          <w:i/>
        </w:rPr>
        <w:t>cf</w:t>
      </w:r>
      <w:proofErr w:type="spellEnd"/>
      <w:r w:rsidRPr="005247BF">
        <w:rPr>
          <w:rFonts w:ascii="Tahoma" w:eastAsiaTheme="majorEastAsia" w:hAnsi="Tahoma" w:cs="Tahoma"/>
        </w:rPr>
        <w:t xml:space="preserve"> CMO No. 30-2015</w:t>
      </w:r>
    </w:p>
  </w:footnote>
  <w:footnote w:id="62">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CMO No. 30-2015</w:t>
      </w:r>
    </w:p>
  </w:footnote>
  <w:footnote w:id="63">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CMO No. 30-2015</w:t>
      </w:r>
    </w:p>
  </w:footnote>
  <w:footnote w:id="64">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CMO No. 30-2015</w:t>
      </w:r>
    </w:p>
  </w:footnote>
  <w:footnote w:id="65">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CMO No. 30-2015</w:t>
      </w:r>
    </w:p>
  </w:footnote>
  <w:footnote w:id="66">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BA741F">
        <w:rPr>
          <w:rFonts w:ascii="Tahoma" w:hAnsi="Tahoma" w:cs="Tahoma"/>
        </w:rPr>
        <w:t xml:space="preserve"> </w:t>
      </w:r>
      <w:r w:rsidRPr="005247BF">
        <w:rPr>
          <w:rFonts w:ascii="Tahoma" w:hAnsi="Tahoma" w:cs="Tahoma"/>
        </w:rPr>
        <w:t>CMTA</w:t>
      </w:r>
      <w:r w:rsidRPr="00BA741F">
        <w:rPr>
          <w:rFonts w:ascii="Tahoma" w:hAnsi="Tahoma" w:cs="Tahoma"/>
        </w:rPr>
        <w:t>, Tit</w:t>
      </w:r>
      <w:r w:rsidRPr="005247BF">
        <w:rPr>
          <w:rFonts w:ascii="Tahoma" w:hAnsi="Tahoma" w:cs="Tahoma"/>
        </w:rPr>
        <w:t>l</w:t>
      </w:r>
      <w:r w:rsidRPr="00BA741F">
        <w:rPr>
          <w:rFonts w:ascii="Tahoma" w:hAnsi="Tahoma" w:cs="Tahoma"/>
        </w:rPr>
        <w:t>e</w:t>
      </w:r>
      <w:r w:rsidRPr="005247BF">
        <w:rPr>
          <w:rFonts w:ascii="Tahoma" w:hAnsi="Tahoma" w:cs="Tahoma"/>
        </w:rPr>
        <w:t xml:space="preserve"> VIII</w:t>
      </w:r>
      <w:r w:rsidRPr="00BA741F">
        <w:rPr>
          <w:rFonts w:ascii="Tahoma" w:hAnsi="Tahoma" w:cs="Tahoma"/>
        </w:rPr>
        <w:t>, Chapter</w:t>
      </w:r>
      <w:r w:rsidRPr="005247BF">
        <w:rPr>
          <w:rFonts w:ascii="Tahoma" w:hAnsi="Tahoma" w:cs="Tahoma"/>
        </w:rPr>
        <w:t xml:space="preserve"> 2</w:t>
      </w:r>
      <w:r w:rsidRPr="00BA741F">
        <w:rPr>
          <w:rFonts w:ascii="Tahoma" w:hAnsi="Tahoma" w:cs="Tahoma"/>
        </w:rPr>
        <w:t>, Section</w:t>
      </w:r>
      <w:r w:rsidRPr="005247BF">
        <w:rPr>
          <w:rFonts w:ascii="Tahoma" w:hAnsi="Tahoma" w:cs="Tahoma"/>
        </w:rPr>
        <w:t xml:space="preserve"> 807</w:t>
      </w:r>
    </w:p>
  </w:footnote>
  <w:footnote w:id="67">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CMO No. 30-2015</w:t>
      </w:r>
    </w:p>
  </w:footnote>
  <w:footnote w:id="68">
    <w:p w:rsidR="00C149C3" w:rsidRPr="005247BF" w:rsidRDefault="00C149C3" w:rsidP="005247BF">
      <w:pPr>
        <w:pStyle w:val="Heading2"/>
        <w:numPr>
          <w:ilvl w:val="0"/>
          <w:numId w:val="0"/>
        </w:numPr>
        <w:rPr>
          <w:color w:val="FF0000"/>
        </w:rPr>
      </w:pPr>
      <w:r w:rsidRPr="005247BF">
        <w:rPr>
          <w:rStyle w:val="FootnoteReference"/>
          <w:color w:val="auto"/>
          <w:sz w:val="20"/>
          <w:szCs w:val="20"/>
        </w:rPr>
        <w:footnoteRef/>
      </w:r>
      <w:r w:rsidRPr="005247BF">
        <w:rPr>
          <w:color w:val="auto"/>
          <w:sz w:val="20"/>
          <w:szCs w:val="20"/>
        </w:rPr>
        <w:t xml:space="preserve"> </w:t>
      </w:r>
      <w:proofErr w:type="spellStart"/>
      <w:r w:rsidRPr="005247BF">
        <w:rPr>
          <w:i/>
          <w:color w:val="auto"/>
          <w:sz w:val="20"/>
          <w:szCs w:val="20"/>
        </w:rPr>
        <w:t>cf</w:t>
      </w:r>
      <w:proofErr w:type="spellEnd"/>
      <w:r w:rsidRPr="005247BF">
        <w:rPr>
          <w:color w:val="auto"/>
          <w:sz w:val="20"/>
          <w:szCs w:val="20"/>
        </w:rPr>
        <w:t xml:space="preserve"> CMO 32-2015, Section 4.7</w:t>
      </w:r>
    </w:p>
  </w:footnote>
  <w:footnote w:id="69">
    <w:p w:rsidR="00C149C3" w:rsidRDefault="00C149C3">
      <w:pPr>
        <w:pStyle w:val="FootnoteText"/>
      </w:pPr>
      <w:r w:rsidRPr="005247BF">
        <w:rPr>
          <w:rStyle w:val="FootnoteReference"/>
          <w:rFonts w:ascii="Tahoma" w:hAnsi="Tahoma" w:cs="Tahoma"/>
        </w:rPr>
        <w:footnoteRef/>
      </w:r>
      <w:r w:rsidRPr="005247BF">
        <w:rPr>
          <w:rFonts w:ascii="Tahoma" w:hAnsi="Tahoma" w:cs="Tahoma"/>
        </w:rPr>
        <w:t xml:space="preserve"> </w:t>
      </w:r>
      <w:proofErr w:type="spellStart"/>
      <w:r w:rsidRPr="005247BF">
        <w:rPr>
          <w:rFonts w:ascii="Tahoma" w:hAnsi="Tahoma" w:cs="Tahoma"/>
          <w:i/>
        </w:rPr>
        <w:t>cf</w:t>
      </w:r>
      <w:proofErr w:type="spellEnd"/>
      <w:r w:rsidRPr="005247BF">
        <w:rPr>
          <w:rFonts w:ascii="Tahoma" w:hAnsi="Tahoma" w:cs="Tahoma"/>
        </w:rPr>
        <w:t xml:space="preserve"> CMTA, Title</w:t>
      </w:r>
      <w:r>
        <w:rPr>
          <w:rFonts w:ascii="Tahoma" w:hAnsi="Tahoma" w:cs="Tahoma"/>
        </w:rPr>
        <w:t xml:space="preserve"> VIII</w:t>
      </w:r>
      <w:r w:rsidRPr="005247BF">
        <w:rPr>
          <w:rFonts w:ascii="Tahoma" w:hAnsi="Tahoma" w:cs="Tahoma"/>
        </w:rPr>
        <w:t>, Chapter</w:t>
      </w:r>
      <w:r>
        <w:rPr>
          <w:rFonts w:ascii="Tahoma" w:hAnsi="Tahoma" w:cs="Tahoma"/>
        </w:rPr>
        <w:t xml:space="preserve"> 2</w:t>
      </w:r>
      <w:r w:rsidRPr="005247BF">
        <w:rPr>
          <w:rFonts w:ascii="Tahoma" w:hAnsi="Tahoma" w:cs="Tahoma"/>
        </w:rPr>
        <w:t>, Section 81</w:t>
      </w:r>
      <w:r>
        <w:rPr>
          <w:rFonts w:ascii="Tahoma" w:hAnsi="Tahoma" w:cs="Tahoma"/>
        </w:rPr>
        <w:t>3, par.2.</w:t>
      </w:r>
    </w:p>
  </w:footnote>
  <w:footnote w:id="70">
    <w:p w:rsidR="00C149C3" w:rsidRPr="001D3E99" w:rsidRDefault="00C149C3">
      <w:pPr>
        <w:pStyle w:val="FootnoteText"/>
      </w:pPr>
      <w:r>
        <w:rPr>
          <w:rStyle w:val="FootnoteReference"/>
        </w:rPr>
        <w:footnoteRef/>
      </w:r>
      <w:r>
        <w:t xml:space="preserve"> </w:t>
      </w:r>
      <w:r w:rsidRPr="005247BF">
        <w:rPr>
          <w:rFonts w:ascii="Tahoma" w:hAnsi="Tahoma" w:cs="Tahoma"/>
        </w:rPr>
        <w:t>CMTA, Title VIII, Chapter 2, Section 805.</w:t>
      </w:r>
    </w:p>
  </w:footnote>
  <w:footnote w:id="71">
    <w:p w:rsidR="00C149C3" w:rsidRPr="005247BF" w:rsidRDefault="00C149C3">
      <w:pPr>
        <w:pStyle w:val="FootnoteText"/>
        <w:rPr>
          <w:rFonts w:ascii="Tahoma" w:hAnsi="Tahoma" w:cs="Tahoma"/>
        </w:rPr>
      </w:pPr>
      <w:r w:rsidRPr="005247BF">
        <w:rPr>
          <w:rStyle w:val="FootnoteReference"/>
          <w:rFonts w:ascii="Tahoma" w:hAnsi="Tahoma" w:cs="Tahoma"/>
        </w:rPr>
        <w:footnoteRef/>
      </w:r>
      <w:r w:rsidRPr="005247BF">
        <w:rPr>
          <w:rFonts w:ascii="Tahoma" w:hAnsi="Tahoma" w:cs="Tahoma"/>
        </w:rPr>
        <w:t xml:space="preserve"> CMTA, Title VIII, Chapter 2, Section 806.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D4F"/>
    <w:multiLevelType w:val="hybridMultilevel"/>
    <w:tmpl w:val="483ECB7C"/>
    <w:lvl w:ilvl="0" w:tplc="617EB2F8">
      <w:start w:val="1"/>
      <w:numFmt w:val="lowerRoman"/>
      <w:lvlText w:val="%1."/>
      <w:lvlJc w:val="left"/>
      <w:pPr>
        <w:ind w:left="4229" w:hanging="720"/>
      </w:pPr>
      <w:rPr>
        <w:rFonts w:hint="default"/>
      </w:rPr>
    </w:lvl>
    <w:lvl w:ilvl="1" w:tplc="34090019" w:tentative="1">
      <w:start w:val="1"/>
      <w:numFmt w:val="lowerLetter"/>
      <w:lvlText w:val="%2."/>
      <w:lvlJc w:val="left"/>
      <w:pPr>
        <w:ind w:left="4589" w:hanging="360"/>
      </w:pPr>
    </w:lvl>
    <w:lvl w:ilvl="2" w:tplc="3409001B" w:tentative="1">
      <w:start w:val="1"/>
      <w:numFmt w:val="lowerRoman"/>
      <w:lvlText w:val="%3."/>
      <w:lvlJc w:val="right"/>
      <w:pPr>
        <w:ind w:left="5309" w:hanging="180"/>
      </w:pPr>
    </w:lvl>
    <w:lvl w:ilvl="3" w:tplc="3409000F" w:tentative="1">
      <w:start w:val="1"/>
      <w:numFmt w:val="decimal"/>
      <w:lvlText w:val="%4."/>
      <w:lvlJc w:val="left"/>
      <w:pPr>
        <w:ind w:left="6029" w:hanging="360"/>
      </w:pPr>
    </w:lvl>
    <w:lvl w:ilvl="4" w:tplc="34090019" w:tentative="1">
      <w:start w:val="1"/>
      <w:numFmt w:val="lowerLetter"/>
      <w:lvlText w:val="%5."/>
      <w:lvlJc w:val="left"/>
      <w:pPr>
        <w:ind w:left="6749" w:hanging="360"/>
      </w:pPr>
    </w:lvl>
    <w:lvl w:ilvl="5" w:tplc="3409001B" w:tentative="1">
      <w:start w:val="1"/>
      <w:numFmt w:val="lowerRoman"/>
      <w:lvlText w:val="%6."/>
      <w:lvlJc w:val="right"/>
      <w:pPr>
        <w:ind w:left="7469" w:hanging="180"/>
      </w:pPr>
    </w:lvl>
    <w:lvl w:ilvl="6" w:tplc="3409000F" w:tentative="1">
      <w:start w:val="1"/>
      <w:numFmt w:val="decimal"/>
      <w:lvlText w:val="%7."/>
      <w:lvlJc w:val="left"/>
      <w:pPr>
        <w:ind w:left="8189" w:hanging="360"/>
      </w:pPr>
    </w:lvl>
    <w:lvl w:ilvl="7" w:tplc="34090019" w:tentative="1">
      <w:start w:val="1"/>
      <w:numFmt w:val="lowerLetter"/>
      <w:lvlText w:val="%8."/>
      <w:lvlJc w:val="left"/>
      <w:pPr>
        <w:ind w:left="8909" w:hanging="360"/>
      </w:pPr>
    </w:lvl>
    <w:lvl w:ilvl="8" w:tplc="3409001B" w:tentative="1">
      <w:start w:val="1"/>
      <w:numFmt w:val="lowerRoman"/>
      <w:lvlText w:val="%9."/>
      <w:lvlJc w:val="right"/>
      <w:pPr>
        <w:ind w:left="9629" w:hanging="180"/>
      </w:pPr>
    </w:lvl>
  </w:abstractNum>
  <w:abstractNum w:abstractNumId="1" w15:restartNumberingAfterBreak="0">
    <w:nsid w:val="045969F0"/>
    <w:multiLevelType w:val="multilevel"/>
    <w:tmpl w:val="045969F0"/>
    <w:lvl w:ilvl="0" w:tentative="1">
      <w:start w:val="4"/>
      <w:numFmt w:val="decimal"/>
      <w:lvlText w:val="%1"/>
      <w:lvlJc w:val="left"/>
      <w:pPr>
        <w:ind w:left="360" w:hanging="360"/>
      </w:pPr>
      <w:rPr>
        <w:rFonts w:hint="default"/>
        <w:b w:val="0"/>
      </w:rPr>
    </w:lvl>
    <w:lvl w:ilvl="1">
      <w:start w:val="1"/>
      <w:numFmt w:val="decimal"/>
      <w:lvlRestart w:val="0"/>
      <w:lvlText w:val="3.%2"/>
      <w:lvlJc w:val="left"/>
      <w:pPr>
        <w:ind w:left="1080" w:hanging="720"/>
      </w:pPr>
      <w:rPr>
        <w:rFonts w:hint="default"/>
        <w:b/>
      </w:rPr>
    </w:lvl>
    <w:lvl w:ilvl="2" w:tentative="1">
      <w:start w:val="1"/>
      <w:numFmt w:val="decimal"/>
      <w:lvlText w:val="%1.%2.%3"/>
      <w:lvlJc w:val="left"/>
      <w:pPr>
        <w:ind w:left="1800" w:hanging="1080"/>
      </w:pPr>
      <w:rPr>
        <w:rFonts w:hint="default"/>
        <w:b w:val="0"/>
      </w:rPr>
    </w:lvl>
    <w:lvl w:ilvl="3" w:tentative="1">
      <w:start w:val="1"/>
      <w:numFmt w:val="decimal"/>
      <w:lvlText w:val="%1.%2.%3.%4"/>
      <w:lvlJc w:val="left"/>
      <w:pPr>
        <w:ind w:left="2160" w:hanging="1080"/>
      </w:pPr>
      <w:rPr>
        <w:rFonts w:hint="default"/>
        <w:b w:val="0"/>
      </w:rPr>
    </w:lvl>
    <w:lvl w:ilvl="4" w:tentative="1">
      <w:start w:val="1"/>
      <w:numFmt w:val="decimal"/>
      <w:lvlText w:val="%1.%2.%3.%4.%5"/>
      <w:lvlJc w:val="left"/>
      <w:pPr>
        <w:ind w:left="2880" w:hanging="1440"/>
      </w:pPr>
      <w:rPr>
        <w:rFonts w:hint="default"/>
        <w:b w:val="0"/>
      </w:rPr>
    </w:lvl>
    <w:lvl w:ilvl="5" w:tentative="1">
      <w:start w:val="1"/>
      <w:numFmt w:val="decimal"/>
      <w:lvlText w:val="%1.%2.%3.%4.%5.%6"/>
      <w:lvlJc w:val="left"/>
      <w:pPr>
        <w:ind w:left="3600" w:hanging="1800"/>
      </w:pPr>
      <w:rPr>
        <w:rFonts w:hint="default"/>
        <w:b w:val="0"/>
      </w:rPr>
    </w:lvl>
    <w:lvl w:ilvl="6" w:tentative="1">
      <w:start w:val="1"/>
      <w:numFmt w:val="decimal"/>
      <w:lvlText w:val="%1.%2.%3.%4.%5.%6.%7"/>
      <w:lvlJc w:val="left"/>
      <w:pPr>
        <w:ind w:left="4320" w:hanging="2160"/>
      </w:pPr>
      <w:rPr>
        <w:rFonts w:hint="default"/>
        <w:b w:val="0"/>
      </w:rPr>
    </w:lvl>
    <w:lvl w:ilvl="7" w:tentative="1">
      <w:start w:val="1"/>
      <w:numFmt w:val="decimal"/>
      <w:lvlText w:val="%1.%2.%3.%4.%5.%6.%7.%8"/>
      <w:lvlJc w:val="left"/>
      <w:pPr>
        <w:ind w:left="4680" w:hanging="2160"/>
      </w:pPr>
      <w:rPr>
        <w:rFonts w:hint="default"/>
        <w:b w:val="0"/>
      </w:rPr>
    </w:lvl>
    <w:lvl w:ilvl="8" w:tentative="1">
      <w:start w:val="1"/>
      <w:numFmt w:val="decimal"/>
      <w:lvlText w:val="%1.%2.%3.%4.%5.%6.%7.%8.%9"/>
      <w:lvlJc w:val="left"/>
      <w:pPr>
        <w:ind w:left="5400" w:hanging="2520"/>
      </w:pPr>
      <w:rPr>
        <w:rFonts w:hint="default"/>
        <w:b w:val="0"/>
      </w:rPr>
    </w:lvl>
  </w:abstractNum>
  <w:abstractNum w:abstractNumId="2" w15:restartNumberingAfterBreak="0">
    <w:nsid w:val="0D011E50"/>
    <w:multiLevelType w:val="hybridMultilevel"/>
    <w:tmpl w:val="6CD82720"/>
    <w:lvl w:ilvl="0" w:tplc="6256E1BC">
      <w:start w:val="1"/>
      <w:numFmt w:val="lowerLetter"/>
      <w:lvlText w:val="%1."/>
      <w:lvlJc w:val="left"/>
      <w:pPr>
        <w:ind w:left="2790" w:hanging="360"/>
      </w:pPr>
      <w:rPr>
        <w:b w:val="0"/>
        <w:color w:val="auto"/>
      </w:r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3" w15:restartNumberingAfterBreak="0">
    <w:nsid w:val="0F3B0584"/>
    <w:multiLevelType w:val="multilevel"/>
    <w:tmpl w:val="0F3B0584"/>
    <w:lvl w:ilvl="0">
      <w:start w:val="1"/>
      <w:numFmt w:val="lowerLetter"/>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FAF592A"/>
    <w:multiLevelType w:val="hybridMultilevel"/>
    <w:tmpl w:val="FDD43AB2"/>
    <w:lvl w:ilvl="0" w:tplc="381E372C">
      <w:start w:val="1"/>
      <w:numFmt w:val="lowerLetter"/>
      <w:lvlText w:val="%1."/>
      <w:lvlJc w:val="left"/>
      <w:pPr>
        <w:ind w:left="2894" w:hanging="465"/>
      </w:pPr>
      <w:rPr>
        <w:rFonts w:hint="default"/>
        <w:b/>
      </w:rPr>
    </w:lvl>
    <w:lvl w:ilvl="1" w:tplc="34090019" w:tentative="1">
      <w:start w:val="1"/>
      <w:numFmt w:val="lowerLetter"/>
      <w:lvlText w:val="%2."/>
      <w:lvlJc w:val="left"/>
      <w:pPr>
        <w:ind w:left="3509" w:hanging="360"/>
      </w:pPr>
    </w:lvl>
    <w:lvl w:ilvl="2" w:tplc="3409001B" w:tentative="1">
      <w:start w:val="1"/>
      <w:numFmt w:val="lowerRoman"/>
      <w:lvlText w:val="%3."/>
      <w:lvlJc w:val="right"/>
      <w:pPr>
        <w:ind w:left="4229" w:hanging="180"/>
      </w:pPr>
    </w:lvl>
    <w:lvl w:ilvl="3" w:tplc="3409000F" w:tentative="1">
      <w:start w:val="1"/>
      <w:numFmt w:val="decimal"/>
      <w:lvlText w:val="%4."/>
      <w:lvlJc w:val="left"/>
      <w:pPr>
        <w:ind w:left="4949" w:hanging="360"/>
      </w:pPr>
    </w:lvl>
    <w:lvl w:ilvl="4" w:tplc="34090019" w:tentative="1">
      <w:start w:val="1"/>
      <w:numFmt w:val="lowerLetter"/>
      <w:lvlText w:val="%5."/>
      <w:lvlJc w:val="left"/>
      <w:pPr>
        <w:ind w:left="5669" w:hanging="360"/>
      </w:pPr>
    </w:lvl>
    <w:lvl w:ilvl="5" w:tplc="3409001B" w:tentative="1">
      <w:start w:val="1"/>
      <w:numFmt w:val="lowerRoman"/>
      <w:lvlText w:val="%6."/>
      <w:lvlJc w:val="right"/>
      <w:pPr>
        <w:ind w:left="6389" w:hanging="180"/>
      </w:pPr>
    </w:lvl>
    <w:lvl w:ilvl="6" w:tplc="3409000F" w:tentative="1">
      <w:start w:val="1"/>
      <w:numFmt w:val="decimal"/>
      <w:lvlText w:val="%7."/>
      <w:lvlJc w:val="left"/>
      <w:pPr>
        <w:ind w:left="7109" w:hanging="360"/>
      </w:pPr>
    </w:lvl>
    <w:lvl w:ilvl="7" w:tplc="34090019" w:tentative="1">
      <w:start w:val="1"/>
      <w:numFmt w:val="lowerLetter"/>
      <w:lvlText w:val="%8."/>
      <w:lvlJc w:val="left"/>
      <w:pPr>
        <w:ind w:left="7829" w:hanging="360"/>
      </w:pPr>
    </w:lvl>
    <w:lvl w:ilvl="8" w:tplc="3409001B" w:tentative="1">
      <w:start w:val="1"/>
      <w:numFmt w:val="lowerRoman"/>
      <w:lvlText w:val="%9."/>
      <w:lvlJc w:val="right"/>
      <w:pPr>
        <w:ind w:left="8549" w:hanging="180"/>
      </w:pPr>
    </w:lvl>
  </w:abstractNum>
  <w:abstractNum w:abstractNumId="5" w15:restartNumberingAfterBreak="0">
    <w:nsid w:val="1061093E"/>
    <w:multiLevelType w:val="multilevel"/>
    <w:tmpl w:val="1061093E"/>
    <w:lvl w:ilvl="0">
      <w:start w:val="1"/>
      <w:numFmt w:val="lowerLetter"/>
      <w:lvlText w:val="%1."/>
      <w:lvlJc w:val="left"/>
      <w:pPr>
        <w:ind w:left="2868" w:hanging="360"/>
      </w:pPr>
      <w:rPr>
        <w:rFonts w:hint="default"/>
        <w:b w:val="0"/>
      </w:rPr>
    </w:lvl>
    <w:lvl w:ilvl="1" w:tentative="1">
      <w:start w:val="1"/>
      <w:numFmt w:val="lowerLetter"/>
      <w:lvlText w:val="%2."/>
      <w:lvlJc w:val="left"/>
      <w:pPr>
        <w:ind w:left="3588" w:hanging="360"/>
      </w:pPr>
    </w:lvl>
    <w:lvl w:ilvl="2" w:tentative="1">
      <w:start w:val="1"/>
      <w:numFmt w:val="lowerRoman"/>
      <w:lvlText w:val="%3."/>
      <w:lvlJc w:val="right"/>
      <w:pPr>
        <w:ind w:left="4308" w:hanging="180"/>
      </w:pPr>
    </w:lvl>
    <w:lvl w:ilvl="3" w:tentative="1">
      <w:start w:val="1"/>
      <w:numFmt w:val="decimal"/>
      <w:lvlText w:val="%4."/>
      <w:lvlJc w:val="left"/>
      <w:pPr>
        <w:ind w:left="5028" w:hanging="360"/>
      </w:pPr>
    </w:lvl>
    <w:lvl w:ilvl="4" w:tentative="1">
      <w:start w:val="1"/>
      <w:numFmt w:val="lowerLetter"/>
      <w:lvlText w:val="%5."/>
      <w:lvlJc w:val="left"/>
      <w:pPr>
        <w:ind w:left="5748" w:hanging="360"/>
      </w:pPr>
    </w:lvl>
    <w:lvl w:ilvl="5" w:tentative="1">
      <w:start w:val="1"/>
      <w:numFmt w:val="lowerRoman"/>
      <w:lvlText w:val="%6."/>
      <w:lvlJc w:val="right"/>
      <w:pPr>
        <w:ind w:left="6468" w:hanging="180"/>
      </w:pPr>
    </w:lvl>
    <w:lvl w:ilvl="6" w:tentative="1">
      <w:start w:val="1"/>
      <w:numFmt w:val="decimal"/>
      <w:lvlText w:val="%7."/>
      <w:lvlJc w:val="left"/>
      <w:pPr>
        <w:ind w:left="7188" w:hanging="360"/>
      </w:pPr>
    </w:lvl>
    <w:lvl w:ilvl="7" w:tentative="1">
      <w:start w:val="1"/>
      <w:numFmt w:val="lowerLetter"/>
      <w:lvlText w:val="%8."/>
      <w:lvlJc w:val="left"/>
      <w:pPr>
        <w:ind w:left="7908" w:hanging="360"/>
      </w:pPr>
    </w:lvl>
    <w:lvl w:ilvl="8" w:tentative="1">
      <w:start w:val="1"/>
      <w:numFmt w:val="lowerRoman"/>
      <w:lvlText w:val="%9."/>
      <w:lvlJc w:val="right"/>
      <w:pPr>
        <w:ind w:left="8628" w:hanging="180"/>
      </w:pPr>
    </w:lvl>
  </w:abstractNum>
  <w:abstractNum w:abstractNumId="6" w15:restartNumberingAfterBreak="0">
    <w:nsid w:val="158D734A"/>
    <w:multiLevelType w:val="multilevel"/>
    <w:tmpl w:val="158D734A"/>
    <w:lvl w:ilvl="0">
      <w:start w:val="1"/>
      <w:numFmt w:val="decimal"/>
      <w:lvlText w:val="%1."/>
      <w:lvlJc w:val="left"/>
      <w:pPr>
        <w:ind w:left="400" w:hanging="400"/>
      </w:pPr>
      <w:rPr>
        <w:rFonts w:ascii="Tahoma" w:eastAsia="Calibri" w:hAnsi="Tahoma" w:cs="Tahoma"/>
        <w:b/>
        <w:u w:val="none"/>
      </w:rPr>
    </w:lvl>
    <w:lvl w:ilvl="1" w:tentative="1">
      <w:start w:val="1"/>
      <w:numFmt w:val="decimal"/>
      <w:lvlText w:val="%1.%2."/>
      <w:lvlJc w:val="left"/>
      <w:pPr>
        <w:ind w:left="1440" w:hanging="720"/>
      </w:pPr>
      <w:rPr>
        <w:rFonts w:hint="default"/>
        <w:b/>
        <w:u w:val="none"/>
      </w:rPr>
    </w:lvl>
    <w:lvl w:ilvl="2" w:tentative="1">
      <w:start w:val="1"/>
      <w:numFmt w:val="decimal"/>
      <w:lvlText w:val="%1.%2.%3."/>
      <w:lvlJc w:val="left"/>
      <w:pPr>
        <w:ind w:left="2520" w:hanging="1080"/>
      </w:pPr>
      <w:rPr>
        <w:rFonts w:hint="default"/>
        <w:b/>
        <w:u w:val="none"/>
      </w:rPr>
    </w:lvl>
    <w:lvl w:ilvl="3" w:tentative="1">
      <w:start w:val="1"/>
      <w:numFmt w:val="decimal"/>
      <w:lvlText w:val="%1.%2.%3.%4."/>
      <w:lvlJc w:val="left"/>
      <w:pPr>
        <w:ind w:left="3600" w:hanging="1440"/>
      </w:pPr>
      <w:rPr>
        <w:rFonts w:hint="default"/>
        <w:b w:val="0"/>
        <w:u w:val="none"/>
      </w:rPr>
    </w:lvl>
    <w:lvl w:ilvl="4" w:tentative="1">
      <w:start w:val="1"/>
      <w:numFmt w:val="decimal"/>
      <w:lvlText w:val="%1.%2.%3.%4.%5."/>
      <w:lvlJc w:val="left"/>
      <w:pPr>
        <w:ind w:left="4320" w:hanging="1440"/>
      </w:pPr>
      <w:rPr>
        <w:rFonts w:hint="default"/>
        <w:b w:val="0"/>
        <w:u w:val="none"/>
      </w:rPr>
    </w:lvl>
    <w:lvl w:ilvl="5" w:tentative="1">
      <w:start w:val="1"/>
      <w:numFmt w:val="decimal"/>
      <w:lvlText w:val="%1.%2.%3.%4.%5.%6."/>
      <w:lvlJc w:val="left"/>
      <w:pPr>
        <w:ind w:left="5400" w:hanging="1800"/>
      </w:pPr>
      <w:rPr>
        <w:rFonts w:hint="default"/>
        <w:b w:val="0"/>
        <w:u w:val="none"/>
      </w:rPr>
    </w:lvl>
    <w:lvl w:ilvl="6" w:tentative="1">
      <w:start w:val="1"/>
      <w:numFmt w:val="decimal"/>
      <w:lvlText w:val="%1.%2.%3.%4.%5.%6.%7."/>
      <w:lvlJc w:val="left"/>
      <w:pPr>
        <w:ind w:left="6480" w:hanging="2160"/>
      </w:pPr>
      <w:rPr>
        <w:rFonts w:hint="default"/>
        <w:b w:val="0"/>
        <w:u w:val="none"/>
      </w:rPr>
    </w:lvl>
    <w:lvl w:ilvl="7" w:tentative="1">
      <w:start w:val="1"/>
      <w:numFmt w:val="decimal"/>
      <w:lvlText w:val="%1.%2.%3.%4.%5.%6.%7.%8."/>
      <w:lvlJc w:val="left"/>
      <w:pPr>
        <w:ind w:left="7560" w:hanging="2520"/>
      </w:pPr>
      <w:rPr>
        <w:rFonts w:hint="default"/>
        <w:b w:val="0"/>
        <w:u w:val="none"/>
      </w:rPr>
    </w:lvl>
    <w:lvl w:ilvl="8">
      <w:start w:val="1"/>
      <w:numFmt w:val="decimal"/>
      <w:lvlText w:val="%1.%2.%3.%4.%5.%6.%7.%8.%9."/>
      <w:lvlJc w:val="left"/>
      <w:pPr>
        <w:ind w:left="8280" w:hanging="2520"/>
      </w:pPr>
      <w:rPr>
        <w:rFonts w:hint="default"/>
        <w:b w:val="0"/>
        <w:u w:val="none"/>
      </w:rPr>
    </w:lvl>
  </w:abstractNum>
  <w:abstractNum w:abstractNumId="7" w15:restartNumberingAfterBreak="0">
    <w:nsid w:val="1615662A"/>
    <w:multiLevelType w:val="hybridMultilevel"/>
    <w:tmpl w:val="E4A42EB0"/>
    <w:lvl w:ilvl="0" w:tplc="3409001B">
      <w:start w:val="1"/>
      <w:numFmt w:val="lowerRoman"/>
      <w:lvlText w:val="%1."/>
      <w:lvlJc w:val="right"/>
      <w:pPr>
        <w:ind w:left="3869" w:hanging="360"/>
      </w:pPr>
    </w:lvl>
    <w:lvl w:ilvl="1" w:tplc="34090019" w:tentative="1">
      <w:start w:val="1"/>
      <w:numFmt w:val="lowerLetter"/>
      <w:lvlText w:val="%2."/>
      <w:lvlJc w:val="left"/>
      <w:pPr>
        <w:ind w:left="4589" w:hanging="360"/>
      </w:pPr>
    </w:lvl>
    <w:lvl w:ilvl="2" w:tplc="3409001B" w:tentative="1">
      <w:start w:val="1"/>
      <w:numFmt w:val="lowerRoman"/>
      <w:lvlText w:val="%3."/>
      <w:lvlJc w:val="right"/>
      <w:pPr>
        <w:ind w:left="5309" w:hanging="180"/>
      </w:pPr>
    </w:lvl>
    <w:lvl w:ilvl="3" w:tplc="3409000F" w:tentative="1">
      <w:start w:val="1"/>
      <w:numFmt w:val="decimal"/>
      <w:lvlText w:val="%4."/>
      <w:lvlJc w:val="left"/>
      <w:pPr>
        <w:ind w:left="6029" w:hanging="360"/>
      </w:pPr>
    </w:lvl>
    <w:lvl w:ilvl="4" w:tplc="34090019" w:tentative="1">
      <w:start w:val="1"/>
      <w:numFmt w:val="lowerLetter"/>
      <w:lvlText w:val="%5."/>
      <w:lvlJc w:val="left"/>
      <w:pPr>
        <w:ind w:left="6749" w:hanging="360"/>
      </w:pPr>
    </w:lvl>
    <w:lvl w:ilvl="5" w:tplc="3409001B" w:tentative="1">
      <w:start w:val="1"/>
      <w:numFmt w:val="lowerRoman"/>
      <w:lvlText w:val="%6."/>
      <w:lvlJc w:val="right"/>
      <w:pPr>
        <w:ind w:left="7469" w:hanging="180"/>
      </w:pPr>
    </w:lvl>
    <w:lvl w:ilvl="6" w:tplc="3409000F" w:tentative="1">
      <w:start w:val="1"/>
      <w:numFmt w:val="decimal"/>
      <w:lvlText w:val="%7."/>
      <w:lvlJc w:val="left"/>
      <w:pPr>
        <w:ind w:left="8189" w:hanging="360"/>
      </w:pPr>
    </w:lvl>
    <w:lvl w:ilvl="7" w:tplc="34090019" w:tentative="1">
      <w:start w:val="1"/>
      <w:numFmt w:val="lowerLetter"/>
      <w:lvlText w:val="%8."/>
      <w:lvlJc w:val="left"/>
      <w:pPr>
        <w:ind w:left="8909" w:hanging="360"/>
      </w:pPr>
    </w:lvl>
    <w:lvl w:ilvl="8" w:tplc="3409001B" w:tentative="1">
      <w:start w:val="1"/>
      <w:numFmt w:val="lowerRoman"/>
      <w:lvlText w:val="%9."/>
      <w:lvlJc w:val="right"/>
      <w:pPr>
        <w:ind w:left="9629" w:hanging="180"/>
      </w:pPr>
    </w:lvl>
  </w:abstractNum>
  <w:abstractNum w:abstractNumId="8" w15:restartNumberingAfterBreak="0">
    <w:nsid w:val="1C727F25"/>
    <w:multiLevelType w:val="hybridMultilevel"/>
    <w:tmpl w:val="EA429028"/>
    <w:lvl w:ilvl="0" w:tplc="3409000F">
      <w:start w:val="1"/>
      <w:numFmt w:val="decimal"/>
      <w:lvlText w:val="%1."/>
      <w:lvlJc w:val="left"/>
      <w:pPr>
        <w:ind w:left="1620" w:hanging="360"/>
      </w:p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9" w15:restartNumberingAfterBreak="0">
    <w:nsid w:val="1D93447D"/>
    <w:multiLevelType w:val="singleLevel"/>
    <w:tmpl w:val="1D93447D"/>
    <w:lvl w:ilvl="0">
      <w:start w:val="2"/>
      <w:numFmt w:val="decimal"/>
      <w:lvlText w:val="6.2.%1"/>
      <w:lvlJc w:val="left"/>
      <w:pPr>
        <w:ind w:left="2520" w:hanging="1080"/>
      </w:pPr>
      <w:rPr>
        <w:rFonts w:hint="default"/>
        <w:b w:val="0"/>
      </w:rPr>
    </w:lvl>
  </w:abstractNum>
  <w:abstractNum w:abstractNumId="10" w15:restartNumberingAfterBreak="0">
    <w:nsid w:val="1F41312F"/>
    <w:multiLevelType w:val="hybridMultilevel"/>
    <w:tmpl w:val="FE2094AA"/>
    <w:lvl w:ilvl="0" w:tplc="B7C6954C">
      <w:start w:val="1"/>
      <w:numFmt w:val="lowerLetter"/>
      <w:lvlText w:val="%1."/>
      <w:lvlJc w:val="left"/>
      <w:pPr>
        <w:ind w:left="2700" w:hanging="360"/>
      </w:pPr>
      <w:rPr>
        <w:b/>
        <w:color w:val="auto"/>
      </w:rPr>
    </w:lvl>
    <w:lvl w:ilvl="1" w:tplc="34090019" w:tentative="1">
      <w:start w:val="1"/>
      <w:numFmt w:val="lowerLetter"/>
      <w:lvlText w:val="%2."/>
      <w:lvlJc w:val="left"/>
      <w:pPr>
        <w:ind w:left="3420" w:hanging="360"/>
      </w:pPr>
    </w:lvl>
    <w:lvl w:ilvl="2" w:tplc="3409001B" w:tentative="1">
      <w:start w:val="1"/>
      <w:numFmt w:val="lowerRoman"/>
      <w:lvlText w:val="%3."/>
      <w:lvlJc w:val="right"/>
      <w:pPr>
        <w:ind w:left="4140" w:hanging="180"/>
      </w:pPr>
    </w:lvl>
    <w:lvl w:ilvl="3" w:tplc="3409000F" w:tentative="1">
      <w:start w:val="1"/>
      <w:numFmt w:val="decimal"/>
      <w:lvlText w:val="%4."/>
      <w:lvlJc w:val="left"/>
      <w:pPr>
        <w:ind w:left="4860" w:hanging="360"/>
      </w:pPr>
    </w:lvl>
    <w:lvl w:ilvl="4" w:tplc="34090019" w:tentative="1">
      <w:start w:val="1"/>
      <w:numFmt w:val="lowerLetter"/>
      <w:lvlText w:val="%5."/>
      <w:lvlJc w:val="left"/>
      <w:pPr>
        <w:ind w:left="5580" w:hanging="360"/>
      </w:pPr>
    </w:lvl>
    <w:lvl w:ilvl="5" w:tplc="3409001B" w:tentative="1">
      <w:start w:val="1"/>
      <w:numFmt w:val="lowerRoman"/>
      <w:lvlText w:val="%6."/>
      <w:lvlJc w:val="right"/>
      <w:pPr>
        <w:ind w:left="6300" w:hanging="180"/>
      </w:pPr>
    </w:lvl>
    <w:lvl w:ilvl="6" w:tplc="3409000F" w:tentative="1">
      <w:start w:val="1"/>
      <w:numFmt w:val="decimal"/>
      <w:lvlText w:val="%7."/>
      <w:lvlJc w:val="left"/>
      <w:pPr>
        <w:ind w:left="7020" w:hanging="360"/>
      </w:pPr>
    </w:lvl>
    <w:lvl w:ilvl="7" w:tplc="34090019" w:tentative="1">
      <w:start w:val="1"/>
      <w:numFmt w:val="lowerLetter"/>
      <w:lvlText w:val="%8."/>
      <w:lvlJc w:val="left"/>
      <w:pPr>
        <w:ind w:left="7740" w:hanging="360"/>
      </w:pPr>
    </w:lvl>
    <w:lvl w:ilvl="8" w:tplc="3409001B" w:tentative="1">
      <w:start w:val="1"/>
      <w:numFmt w:val="lowerRoman"/>
      <w:lvlText w:val="%9."/>
      <w:lvlJc w:val="right"/>
      <w:pPr>
        <w:ind w:left="8460" w:hanging="180"/>
      </w:pPr>
    </w:lvl>
  </w:abstractNum>
  <w:abstractNum w:abstractNumId="11" w15:restartNumberingAfterBreak="0">
    <w:nsid w:val="210448A3"/>
    <w:multiLevelType w:val="multilevel"/>
    <w:tmpl w:val="210448A3"/>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2" w15:restartNumberingAfterBreak="0">
    <w:nsid w:val="21C65672"/>
    <w:multiLevelType w:val="multilevel"/>
    <w:tmpl w:val="FE3CFA04"/>
    <w:lvl w:ilvl="0">
      <w:start w:val="5"/>
      <w:numFmt w:val="decimal"/>
      <w:lvlText w:val="%1."/>
      <w:lvlJc w:val="left"/>
      <w:pPr>
        <w:ind w:left="675" w:hanging="675"/>
      </w:pPr>
      <w:rPr>
        <w:rFonts w:hint="default"/>
        <w:color w:val="auto"/>
      </w:rPr>
    </w:lvl>
    <w:lvl w:ilvl="1">
      <w:start w:val="1"/>
      <w:numFmt w:val="decimal"/>
      <w:lvlText w:val="%1.%2."/>
      <w:lvlJc w:val="left"/>
      <w:pPr>
        <w:ind w:left="900" w:hanging="720"/>
      </w:pPr>
      <w:rPr>
        <w:rFonts w:hint="default"/>
        <w:color w:val="auto"/>
      </w:rPr>
    </w:lvl>
    <w:lvl w:ilvl="2">
      <w:start w:val="1"/>
      <w:numFmt w:val="decimal"/>
      <w:lvlText w:val="%1.%2.%3."/>
      <w:lvlJc w:val="left"/>
      <w:pPr>
        <w:ind w:left="1440" w:hanging="1080"/>
      </w:pPr>
      <w:rPr>
        <w:rFonts w:hint="default"/>
        <w:b/>
        <w:color w:val="auto"/>
      </w:rPr>
    </w:lvl>
    <w:lvl w:ilvl="3">
      <w:start w:val="1"/>
      <w:numFmt w:val="decimal"/>
      <w:lvlText w:val="%1.%2.%3.%4."/>
      <w:lvlJc w:val="left"/>
      <w:pPr>
        <w:ind w:left="1980" w:hanging="1440"/>
      </w:pPr>
      <w:rPr>
        <w:rFonts w:hint="default"/>
        <w:color w:val="auto"/>
      </w:rPr>
    </w:lvl>
    <w:lvl w:ilvl="4">
      <w:start w:val="1"/>
      <w:numFmt w:val="decimal"/>
      <w:lvlText w:val="%1.%2.%3.%4.%5."/>
      <w:lvlJc w:val="left"/>
      <w:pPr>
        <w:ind w:left="2160" w:hanging="1440"/>
      </w:pPr>
      <w:rPr>
        <w:rFonts w:hint="default"/>
        <w:color w:val="auto"/>
      </w:rPr>
    </w:lvl>
    <w:lvl w:ilvl="5">
      <w:start w:val="1"/>
      <w:numFmt w:val="decimal"/>
      <w:lvlText w:val="%1.%2.%3.%4.%5.%6."/>
      <w:lvlJc w:val="left"/>
      <w:pPr>
        <w:ind w:left="2700" w:hanging="1800"/>
      </w:pPr>
      <w:rPr>
        <w:rFonts w:hint="default"/>
        <w:color w:val="auto"/>
      </w:rPr>
    </w:lvl>
    <w:lvl w:ilvl="6">
      <w:start w:val="1"/>
      <w:numFmt w:val="lowerLetter"/>
      <w:lvlText w:val="%7."/>
      <w:lvlJc w:val="left"/>
      <w:pPr>
        <w:ind w:left="1440" w:hanging="360"/>
      </w:pPr>
      <w:rPr>
        <w:rFonts w:hint="default"/>
      </w:rPr>
    </w:lvl>
    <w:lvl w:ilvl="7" w:tentative="1">
      <w:start w:val="1"/>
      <w:numFmt w:val="decimal"/>
      <w:lvlText w:val="%1.%2.%3.%4.%5.%6.%7.%8."/>
      <w:lvlJc w:val="left"/>
      <w:pPr>
        <w:ind w:left="3780" w:hanging="2520"/>
      </w:pPr>
      <w:rPr>
        <w:rFonts w:hint="default"/>
        <w:color w:val="auto"/>
      </w:rPr>
    </w:lvl>
    <w:lvl w:ilvl="8" w:tentative="1">
      <w:start w:val="1"/>
      <w:numFmt w:val="decimal"/>
      <w:lvlText w:val="%1.%2.%3.%4.%5.%6.%7.%8.%9."/>
      <w:lvlJc w:val="left"/>
      <w:pPr>
        <w:ind w:left="3960" w:hanging="2520"/>
      </w:pPr>
      <w:rPr>
        <w:rFonts w:hint="default"/>
        <w:color w:val="auto"/>
      </w:rPr>
    </w:lvl>
  </w:abstractNum>
  <w:abstractNum w:abstractNumId="13" w15:restartNumberingAfterBreak="0">
    <w:nsid w:val="259C17CE"/>
    <w:multiLevelType w:val="hybridMultilevel"/>
    <w:tmpl w:val="C0587AAA"/>
    <w:lvl w:ilvl="0" w:tplc="34090019">
      <w:start w:val="1"/>
      <w:numFmt w:val="lowerLetter"/>
      <w:lvlText w:val="%1."/>
      <w:lvlJc w:val="lef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4" w15:restartNumberingAfterBreak="0">
    <w:nsid w:val="295C57A9"/>
    <w:multiLevelType w:val="multilevel"/>
    <w:tmpl w:val="295C57A9"/>
    <w:lvl w:ilvl="0" w:tentative="1">
      <w:start w:val="8"/>
      <w:numFmt w:val="decimal"/>
      <w:lvlText w:val="%1."/>
      <w:lvlJc w:val="left"/>
      <w:pPr>
        <w:ind w:left="420" w:hanging="420"/>
      </w:pPr>
      <w:rPr>
        <w:rFonts w:hint="default"/>
        <w:b w:val="0"/>
      </w:rPr>
    </w:lvl>
    <w:lvl w:ilvl="1">
      <w:start w:val="1"/>
      <w:numFmt w:val="decimal"/>
      <w:lvlText w:val="7.%2."/>
      <w:lvlJc w:val="left"/>
      <w:pPr>
        <w:ind w:left="1980" w:hanging="720"/>
      </w:pPr>
      <w:rPr>
        <w:rFonts w:hint="default"/>
        <w:b w:val="0"/>
      </w:rPr>
    </w:lvl>
    <w:lvl w:ilvl="2" w:tentative="1">
      <w:start w:val="1"/>
      <w:numFmt w:val="decimal"/>
      <w:lvlText w:val="%1.%2.%3."/>
      <w:lvlJc w:val="left"/>
      <w:pPr>
        <w:ind w:left="3600" w:hanging="1080"/>
      </w:pPr>
      <w:rPr>
        <w:rFonts w:hint="default"/>
        <w:b w:val="0"/>
      </w:rPr>
    </w:lvl>
    <w:lvl w:ilvl="3" w:tentative="1">
      <w:start w:val="1"/>
      <w:numFmt w:val="decimal"/>
      <w:lvlText w:val="%1.%2.%3.%4."/>
      <w:lvlJc w:val="left"/>
      <w:pPr>
        <w:ind w:left="5220" w:hanging="1440"/>
      </w:pPr>
      <w:rPr>
        <w:rFonts w:hint="default"/>
        <w:b w:val="0"/>
      </w:rPr>
    </w:lvl>
    <w:lvl w:ilvl="4" w:tentative="1">
      <w:start w:val="1"/>
      <w:numFmt w:val="decimal"/>
      <w:lvlText w:val="%1.%2.%3.%4.%5."/>
      <w:lvlJc w:val="left"/>
      <w:pPr>
        <w:ind w:left="6480" w:hanging="1440"/>
      </w:pPr>
      <w:rPr>
        <w:rFonts w:hint="default"/>
        <w:b w:val="0"/>
      </w:rPr>
    </w:lvl>
    <w:lvl w:ilvl="5" w:tentative="1">
      <w:start w:val="1"/>
      <w:numFmt w:val="decimal"/>
      <w:lvlText w:val="%1.%2.%3.%4.%5.%6."/>
      <w:lvlJc w:val="left"/>
      <w:pPr>
        <w:ind w:left="8100" w:hanging="1800"/>
      </w:pPr>
      <w:rPr>
        <w:rFonts w:hint="default"/>
        <w:b w:val="0"/>
      </w:rPr>
    </w:lvl>
    <w:lvl w:ilvl="6" w:tentative="1">
      <w:start w:val="1"/>
      <w:numFmt w:val="decimal"/>
      <w:lvlText w:val="%1.%2.%3.%4.%5.%6.%7."/>
      <w:lvlJc w:val="left"/>
      <w:pPr>
        <w:ind w:left="9720" w:hanging="2160"/>
      </w:pPr>
      <w:rPr>
        <w:rFonts w:hint="default"/>
        <w:b w:val="0"/>
      </w:rPr>
    </w:lvl>
    <w:lvl w:ilvl="7" w:tentative="1">
      <w:start w:val="1"/>
      <w:numFmt w:val="decimal"/>
      <w:lvlText w:val="%1.%2.%3.%4.%5.%6.%7.%8."/>
      <w:lvlJc w:val="left"/>
      <w:pPr>
        <w:ind w:left="11340" w:hanging="2520"/>
      </w:pPr>
      <w:rPr>
        <w:rFonts w:hint="default"/>
        <w:b w:val="0"/>
      </w:rPr>
    </w:lvl>
    <w:lvl w:ilvl="8" w:tentative="1">
      <w:start w:val="1"/>
      <w:numFmt w:val="decimal"/>
      <w:lvlText w:val="%1.%2.%3.%4.%5.%6.%7.%8.%9."/>
      <w:lvlJc w:val="left"/>
      <w:pPr>
        <w:ind w:left="12600" w:hanging="2520"/>
      </w:pPr>
      <w:rPr>
        <w:rFonts w:hint="default"/>
        <w:b w:val="0"/>
      </w:rPr>
    </w:lvl>
  </w:abstractNum>
  <w:abstractNum w:abstractNumId="15" w15:restartNumberingAfterBreak="0">
    <w:nsid w:val="2B326277"/>
    <w:multiLevelType w:val="hybridMultilevel"/>
    <w:tmpl w:val="461882DA"/>
    <w:lvl w:ilvl="0" w:tplc="4D840E9E">
      <w:start w:val="2"/>
      <w:numFmt w:val="decimal"/>
      <w:pStyle w:val="Heading4"/>
      <w:lvlText w:val="6.2.%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FB14EB0"/>
    <w:multiLevelType w:val="hybridMultilevel"/>
    <w:tmpl w:val="1BF032AA"/>
    <w:lvl w:ilvl="0" w:tplc="0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5AA6691"/>
    <w:multiLevelType w:val="hybridMultilevel"/>
    <w:tmpl w:val="07581032"/>
    <w:lvl w:ilvl="0" w:tplc="3409000F">
      <w:start w:val="1"/>
      <w:numFmt w:val="decimal"/>
      <w:lvlText w:val="%1."/>
      <w:lvlJc w:val="left"/>
      <w:pPr>
        <w:ind w:left="1620" w:hanging="360"/>
      </w:p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18" w15:restartNumberingAfterBreak="0">
    <w:nsid w:val="3B794A6C"/>
    <w:multiLevelType w:val="hybridMultilevel"/>
    <w:tmpl w:val="6088AC2A"/>
    <w:lvl w:ilvl="0" w:tplc="6DFCBEE8">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9" w15:restartNumberingAfterBreak="0">
    <w:nsid w:val="45D25580"/>
    <w:multiLevelType w:val="hybridMultilevel"/>
    <w:tmpl w:val="066A770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0" w15:restartNumberingAfterBreak="0">
    <w:nsid w:val="49561B47"/>
    <w:multiLevelType w:val="multilevel"/>
    <w:tmpl w:val="FE3CFA04"/>
    <w:lvl w:ilvl="0">
      <w:start w:val="5"/>
      <w:numFmt w:val="decimal"/>
      <w:lvlText w:val="%1."/>
      <w:lvlJc w:val="left"/>
      <w:pPr>
        <w:ind w:left="675" w:hanging="675"/>
      </w:pPr>
      <w:rPr>
        <w:rFonts w:hint="default"/>
        <w:color w:val="auto"/>
      </w:rPr>
    </w:lvl>
    <w:lvl w:ilvl="1">
      <w:start w:val="1"/>
      <w:numFmt w:val="decimal"/>
      <w:lvlText w:val="%1.%2."/>
      <w:lvlJc w:val="left"/>
      <w:pPr>
        <w:ind w:left="900" w:hanging="720"/>
      </w:pPr>
      <w:rPr>
        <w:rFonts w:hint="default"/>
        <w:color w:val="auto"/>
      </w:rPr>
    </w:lvl>
    <w:lvl w:ilvl="2">
      <w:start w:val="1"/>
      <w:numFmt w:val="decimal"/>
      <w:lvlText w:val="%1.%2.%3."/>
      <w:lvlJc w:val="left"/>
      <w:pPr>
        <w:ind w:left="1440" w:hanging="1080"/>
      </w:pPr>
      <w:rPr>
        <w:rFonts w:hint="default"/>
        <w:b/>
        <w:color w:val="auto"/>
      </w:rPr>
    </w:lvl>
    <w:lvl w:ilvl="3">
      <w:start w:val="1"/>
      <w:numFmt w:val="decimal"/>
      <w:lvlText w:val="%1.%2.%3.%4."/>
      <w:lvlJc w:val="left"/>
      <w:pPr>
        <w:ind w:left="1980" w:hanging="1440"/>
      </w:pPr>
      <w:rPr>
        <w:rFonts w:hint="default"/>
        <w:color w:val="auto"/>
      </w:rPr>
    </w:lvl>
    <w:lvl w:ilvl="4">
      <w:start w:val="1"/>
      <w:numFmt w:val="decimal"/>
      <w:lvlText w:val="%1.%2.%3.%4.%5."/>
      <w:lvlJc w:val="left"/>
      <w:pPr>
        <w:ind w:left="2160" w:hanging="1440"/>
      </w:pPr>
      <w:rPr>
        <w:rFonts w:hint="default"/>
        <w:color w:val="auto"/>
      </w:rPr>
    </w:lvl>
    <w:lvl w:ilvl="5">
      <w:start w:val="1"/>
      <w:numFmt w:val="decimal"/>
      <w:lvlText w:val="%1.%2.%3.%4.%5.%6."/>
      <w:lvlJc w:val="left"/>
      <w:pPr>
        <w:ind w:left="2700" w:hanging="1800"/>
      </w:pPr>
      <w:rPr>
        <w:rFonts w:hint="default"/>
        <w:color w:val="auto"/>
      </w:rPr>
    </w:lvl>
    <w:lvl w:ilvl="6">
      <w:start w:val="1"/>
      <w:numFmt w:val="lowerLetter"/>
      <w:lvlText w:val="%7."/>
      <w:lvlJc w:val="left"/>
      <w:pPr>
        <w:ind w:left="1440" w:hanging="360"/>
      </w:pPr>
      <w:rPr>
        <w:rFonts w:hint="default"/>
      </w:rPr>
    </w:lvl>
    <w:lvl w:ilvl="7" w:tentative="1">
      <w:start w:val="1"/>
      <w:numFmt w:val="decimal"/>
      <w:lvlText w:val="%1.%2.%3.%4.%5.%6.%7.%8."/>
      <w:lvlJc w:val="left"/>
      <w:pPr>
        <w:ind w:left="3780" w:hanging="2520"/>
      </w:pPr>
      <w:rPr>
        <w:rFonts w:hint="default"/>
        <w:color w:val="auto"/>
      </w:rPr>
    </w:lvl>
    <w:lvl w:ilvl="8" w:tentative="1">
      <w:start w:val="1"/>
      <w:numFmt w:val="decimal"/>
      <w:lvlText w:val="%1.%2.%3.%4.%5.%6.%7.%8.%9."/>
      <w:lvlJc w:val="left"/>
      <w:pPr>
        <w:ind w:left="3960" w:hanging="2520"/>
      </w:pPr>
      <w:rPr>
        <w:rFonts w:hint="default"/>
        <w:color w:val="auto"/>
      </w:rPr>
    </w:lvl>
  </w:abstractNum>
  <w:abstractNum w:abstractNumId="21" w15:restartNumberingAfterBreak="0">
    <w:nsid w:val="4A461862"/>
    <w:multiLevelType w:val="hybridMultilevel"/>
    <w:tmpl w:val="360E153C"/>
    <w:lvl w:ilvl="0" w:tplc="3409001B">
      <w:start w:val="1"/>
      <w:numFmt w:val="lowerRoman"/>
      <w:lvlText w:val="%1."/>
      <w:lvlJc w:val="right"/>
      <w:pPr>
        <w:ind w:left="4229" w:hanging="360"/>
      </w:pPr>
    </w:lvl>
    <w:lvl w:ilvl="1" w:tplc="34090019" w:tentative="1">
      <w:start w:val="1"/>
      <w:numFmt w:val="lowerLetter"/>
      <w:lvlText w:val="%2."/>
      <w:lvlJc w:val="left"/>
      <w:pPr>
        <w:ind w:left="4949" w:hanging="360"/>
      </w:pPr>
    </w:lvl>
    <w:lvl w:ilvl="2" w:tplc="3409001B" w:tentative="1">
      <w:start w:val="1"/>
      <w:numFmt w:val="lowerRoman"/>
      <w:lvlText w:val="%3."/>
      <w:lvlJc w:val="right"/>
      <w:pPr>
        <w:ind w:left="5669" w:hanging="180"/>
      </w:pPr>
    </w:lvl>
    <w:lvl w:ilvl="3" w:tplc="3409000F" w:tentative="1">
      <w:start w:val="1"/>
      <w:numFmt w:val="decimal"/>
      <w:lvlText w:val="%4."/>
      <w:lvlJc w:val="left"/>
      <w:pPr>
        <w:ind w:left="6389" w:hanging="360"/>
      </w:pPr>
    </w:lvl>
    <w:lvl w:ilvl="4" w:tplc="34090019" w:tentative="1">
      <w:start w:val="1"/>
      <w:numFmt w:val="lowerLetter"/>
      <w:lvlText w:val="%5."/>
      <w:lvlJc w:val="left"/>
      <w:pPr>
        <w:ind w:left="7109" w:hanging="360"/>
      </w:pPr>
    </w:lvl>
    <w:lvl w:ilvl="5" w:tplc="3409001B" w:tentative="1">
      <w:start w:val="1"/>
      <w:numFmt w:val="lowerRoman"/>
      <w:lvlText w:val="%6."/>
      <w:lvlJc w:val="right"/>
      <w:pPr>
        <w:ind w:left="7829" w:hanging="180"/>
      </w:pPr>
    </w:lvl>
    <w:lvl w:ilvl="6" w:tplc="3409000F" w:tentative="1">
      <w:start w:val="1"/>
      <w:numFmt w:val="decimal"/>
      <w:lvlText w:val="%7."/>
      <w:lvlJc w:val="left"/>
      <w:pPr>
        <w:ind w:left="8549" w:hanging="360"/>
      </w:pPr>
    </w:lvl>
    <w:lvl w:ilvl="7" w:tplc="34090019" w:tentative="1">
      <w:start w:val="1"/>
      <w:numFmt w:val="lowerLetter"/>
      <w:lvlText w:val="%8."/>
      <w:lvlJc w:val="left"/>
      <w:pPr>
        <w:ind w:left="9269" w:hanging="360"/>
      </w:pPr>
    </w:lvl>
    <w:lvl w:ilvl="8" w:tplc="3409001B" w:tentative="1">
      <w:start w:val="1"/>
      <w:numFmt w:val="lowerRoman"/>
      <w:lvlText w:val="%9."/>
      <w:lvlJc w:val="right"/>
      <w:pPr>
        <w:ind w:left="9989" w:hanging="180"/>
      </w:pPr>
    </w:lvl>
  </w:abstractNum>
  <w:abstractNum w:abstractNumId="22" w15:restartNumberingAfterBreak="0">
    <w:nsid w:val="4A88096D"/>
    <w:multiLevelType w:val="hybridMultilevel"/>
    <w:tmpl w:val="82E4CB88"/>
    <w:lvl w:ilvl="0" w:tplc="34090001">
      <w:start w:val="1"/>
      <w:numFmt w:val="bullet"/>
      <w:lvlText w:val=""/>
      <w:lvlJc w:val="left"/>
      <w:pPr>
        <w:ind w:left="1120" w:hanging="360"/>
      </w:pPr>
      <w:rPr>
        <w:rFonts w:ascii="Symbol" w:hAnsi="Symbol" w:hint="default"/>
      </w:rPr>
    </w:lvl>
    <w:lvl w:ilvl="1" w:tplc="34090003" w:tentative="1">
      <w:start w:val="1"/>
      <w:numFmt w:val="bullet"/>
      <w:lvlText w:val="o"/>
      <w:lvlJc w:val="left"/>
      <w:pPr>
        <w:ind w:left="1840" w:hanging="360"/>
      </w:pPr>
      <w:rPr>
        <w:rFonts w:ascii="Courier New" w:hAnsi="Courier New" w:cs="Courier New" w:hint="default"/>
      </w:rPr>
    </w:lvl>
    <w:lvl w:ilvl="2" w:tplc="34090005" w:tentative="1">
      <w:start w:val="1"/>
      <w:numFmt w:val="bullet"/>
      <w:lvlText w:val=""/>
      <w:lvlJc w:val="left"/>
      <w:pPr>
        <w:ind w:left="2560" w:hanging="360"/>
      </w:pPr>
      <w:rPr>
        <w:rFonts w:ascii="Wingdings" w:hAnsi="Wingdings" w:hint="default"/>
      </w:rPr>
    </w:lvl>
    <w:lvl w:ilvl="3" w:tplc="34090001" w:tentative="1">
      <w:start w:val="1"/>
      <w:numFmt w:val="bullet"/>
      <w:lvlText w:val=""/>
      <w:lvlJc w:val="left"/>
      <w:pPr>
        <w:ind w:left="3280" w:hanging="360"/>
      </w:pPr>
      <w:rPr>
        <w:rFonts w:ascii="Symbol" w:hAnsi="Symbol" w:hint="default"/>
      </w:rPr>
    </w:lvl>
    <w:lvl w:ilvl="4" w:tplc="34090003" w:tentative="1">
      <w:start w:val="1"/>
      <w:numFmt w:val="bullet"/>
      <w:lvlText w:val="o"/>
      <w:lvlJc w:val="left"/>
      <w:pPr>
        <w:ind w:left="4000" w:hanging="360"/>
      </w:pPr>
      <w:rPr>
        <w:rFonts w:ascii="Courier New" w:hAnsi="Courier New" w:cs="Courier New" w:hint="default"/>
      </w:rPr>
    </w:lvl>
    <w:lvl w:ilvl="5" w:tplc="34090005" w:tentative="1">
      <w:start w:val="1"/>
      <w:numFmt w:val="bullet"/>
      <w:lvlText w:val=""/>
      <w:lvlJc w:val="left"/>
      <w:pPr>
        <w:ind w:left="4720" w:hanging="360"/>
      </w:pPr>
      <w:rPr>
        <w:rFonts w:ascii="Wingdings" w:hAnsi="Wingdings" w:hint="default"/>
      </w:rPr>
    </w:lvl>
    <w:lvl w:ilvl="6" w:tplc="34090001" w:tentative="1">
      <w:start w:val="1"/>
      <w:numFmt w:val="bullet"/>
      <w:lvlText w:val=""/>
      <w:lvlJc w:val="left"/>
      <w:pPr>
        <w:ind w:left="5440" w:hanging="360"/>
      </w:pPr>
      <w:rPr>
        <w:rFonts w:ascii="Symbol" w:hAnsi="Symbol" w:hint="default"/>
      </w:rPr>
    </w:lvl>
    <w:lvl w:ilvl="7" w:tplc="34090003" w:tentative="1">
      <w:start w:val="1"/>
      <w:numFmt w:val="bullet"/>
      <w:lvlText w:val="o"/>
      <w:lvlJc w:val="left"/>
      <w:pPr>
        <w:ind w:left="6160" w:hanging="360"/>
      </w:pPr>
      <w:rPr>
        <w:rFonts w:ascii="Courier New" w:hAnsi="Courier New" w:cs="Courier New" w:hint="default"/>
      </w:rPr>
    </w:lvl>
    <w:lvl w:ilvl="8" w:tplc="34090005" w:tentative="1">
      <w:start w:val="1"/>
      <w:numFmt w:val="bullet"/>
      <w:lvlText w:val=""/>
      <w:lvlJc w:val="left"/>
      <w:pPr>
        <w:ind w:left="6880" w:hanging="360"/>
      </w:pPr>
      <w:rPr>
        <w:rFonts w:ascii="Wingdings" w:hAnsi="Wingdings" w:hint="default"/>
      </w:rPr>
    </w:lvl>
  </w:abstractNum>
  <w:abstractNum w:abstractNumId="23" w15:restartNumberingAfterBreak="0">
    <w:nsid w:val="4EBC3935"/>
    <w:multiLevelType w:val="multilevel"/>
    <w:tmpl w:val="4EBC3935"/>
    <w:lvl w:ilvl="0">
      <w:start w:val="1"/>
      <w:numFmt w:val="decimal"/>
      <w:lvlText w:val="%1."/>
      <w:lvlJc w:val="left"/>
      <w:pPr>
        <w:ind w:left="2340" w:hanging="360"/>
      </w:pPr>
      <w:rPr>
        <w:rFonts w:ascii="Tahoma" w:eastAsiaTheme="minorHAnsi" w:hAnsi="Tahoma" w:cs="Tahoma"/>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4" w15:restartNumberingAfterBreak="0">
    <w:nsid w:val="56166129"/>
    <w:multiLevelType w:val="multilevel"/>
    <w:tmpl w:val="56166129"/>
    <w:lvl w:ilvl="0" w:tentative="1">
      <w:start w:val="7"/>
      <w:numFmt w:val="decimal"/>
      <w:lvlText w:val="%1."/>
      <w:lvlJc w:val="left"/>
      <w:pPr>
        <w:ind w:left="450" w:hanging="450"/>
      </w:pPr>
      <w:rPr>
        <w:rFonts w:hint="default"/>
        <w:b/>
      </w:rPr>
    </w:lvl>
    <w:lvl w:ilvl="1" w:tentative="1">
      <w:start w:val="2"/>
      <w:numFmt w:val="decimal"/>
      <w:lvlText w:val="%1.%2."/>
      <w:lvlJc w:val="left"/>
      <w:pPr>
        <w:ind w:left="1440" w:hanging="720"/>
      </w:pPr>
      <w:rPr>
        <w:rFonts w:ascii="Tahoma" w:hAnsi="Tahoma" w:cs="Tahoma" w:hint="default"/>
        <w:b/>
        <w:sz w:val="24"/>
        <w:szCs w:val="24"/>
      </w:rPr>
    </w:lvl>
    <w:lvl w:ilvl="2">
      <w:start w:val="1"/>
      <w:numFmt w:val="decimal"/>
      <w:lvlText w:val="6.7.%3"/>
      <w:lvlJc w:val="left"/>
      <w:pPr>
        <w:ind w:left="2520" w:hanging="1080"/>
      </w:pPr>
      <w:rPr>
        <w:rFonts w:hint="default"/>
        <w:b/>
      </w:rPr>
    </w:lvl>
    <w:lvl w:ilvl="3" w:tentative="1">
      <w:start w:val="1"/>
      <w:numFmt w:val="decimal"/>
      <w:lvlText w:val="%1.%2.%3.%4."/>
      <w:lvlJc w:val="left"/>
      <w:pPr>
        <w:ind w:left="3240" w:hanging="1080"/>
      </w:pPr>
      <w:rPr>
        <w:rFonts w:hint="default"/>
        <w:b/>
      </w:rPr>
    </w:lvl>
    <w:lvl w:ilvl="4" w:tentative="1">
      <w:start w:val="1"/>
      <w:numFmt w:val="decimal"/>
      <w:lvlText w:val="%1.%2.%3.%4.%5."/>
      <w:lvlJc w:val="left"/>
      <w:pPr>
        <w:ind w:left="4320" w:hanging="1440"/>
      </w:pPr>
      <w:rPr>
        <w:rFonts w:hint="default"/>
        <w:b/>
      </w:rPr>
    </w:lvl>
    <w:lvl w:ilvl="5" w:tentative="1">
      <w:start w:val="1"/>
      <w:numFmt w:val="decimal"/>
      <w:lvlText w:val="%1.%2.%3.%4.%5.%6."/>
      <w:lvlJc w:val="left"/>
      <w:pPr>
        <w:ind w:left="5400" w:hanging="1800"/>
      </w:pPr>
      <w:rPr>
        <w:rFonts w:hint="default"/>
        <w:b/>
      </w:rPr>
    </w:lvl>
    <w:lvl w:ilvl="6" w:tentative="1">
      <w:start w:val="1"/>
      <w:numFmt w:val="decimal"/>
      <w:lvlText w:val="%1.%2.%3.%4.%5.%6.%7."/>
      <w:lvlJc w:val="left"/>
      <w:pPr>
        <w:ind w:left="6120" w:hanging="1800"/>
      </w:pPr>
      <w:rPr>
        <w:rFonts w:hint="default"/>
        <w:b/>
      </w:rPr>
    </w:lvl>
    <w:lvl w:ilvl="7" w:tentative="1">
      <w:start w:val="1"/>
      <w:numFmt w:val="decimal"/>
      <w:lvlText w:val="%1.%2.%3.%4.%5.%6.%7.%8."/>
      <w:lvlJc w:val="left"/>
      <w:pPr>
        <w:ind w:left="7200" w:hanging="2160"/>
      </w:pPr>
      <w:rPr>
        <w:rFonts w:hint="default"/>
        <w:b/>
      </w:rPr>
    </w:lvl>
    <w:lvl w:ilvl="8" w:tentative="1">
      <w:start w:val="1"/>
      <w:numFmt w:val="decimal"/>
      <w:lvlText w:val="%1.%2.%3.%4.%5.%6.%7.%8.%9."/>
      <w:lvlJc w:val="left"/>
      <w:pPr>
        <w:ind w:left="8280" w:hanging="2520"/>
      </w:pPr>
      <w:rPr>
        <w:rFonts w:hint="default"/>
        <w:b/>
      </w:rPr>
    </w:lvl>
  </w:abstractNum>
  <w:abstractNum w:abstractNumId="25" w15:restartNumberingAfterBreak="0">
    <w:nsid w:val="56ED15F6"/>
    <w:multiLevelType w:val="hybridMultilevel"/>
    <w:tmpl w:val="4A2AC058"/>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6" w15:restartNumberingAfterBreak="0">
    <w:nsid w:val="57E9BF97"/>
    <w:multiLevelType w:val="multilevel"/>
    <w:tmpl w:val="57E9BF97"/>
    <w:lvl w:ilvl="0" w:tentative="1">
      <w:start w:val="4"/>
      <w:numFmt w:val="decimal"/>
      <w:lvlText w:val="%1."/>
      <w:lvlJc w:val="left"/>
      <w:pPr>
        <w:ind w:left="675" w:hanging="675"/>
      </w:pPr>
      <w:rPr>
        <w:rFonts w:hint="default"/>
      </w:rPr>
    </w:lvl>
    <w:lvl w:ilvl="1">
      <w:start w:val="3"/>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b/>
      </w:rPr>
    </w:lvl>
    <w:lvl w:ilvl="4" w:tentative="1">
      <w:start w:val="1"/>
      <w:numFmt w:val="decimal"/>
      <w:lvlText w:val="%1.%2.%3.%4.%5."/>
      <w:lvlJc w:val="left"/>
      <w:pPr>
        <w:ind w:left="4320" w:hanging="1440"/>
      </w:pPr>
      <w:rPr>
        <w:rFonts w:hint="default"/>
      </w:rPr>
    </w:lvl>
    <w:lvl w:ilvl="5" w:tentative="1">
      <w:start w:val="1"/>
      <w:numFmt w:val="decimal"/>
      <w:lvlText w:val="%1.%2.%3.%4.%5.%6."/>
      <w:lvlJc w:val="left"/>
      <w:pPr>
        <w:ind w:left="5400" w:hanging="1800"/>
      </w:pPr>
      <w:rPr>
        <w:rFonts w:hint="default"/>
      </w:rPr>
    </w:lvl>
    <w:lvl w:ilvl="6" w:tentative="1">
      <w:start w:val="1"/>
      <w:numFmt w:val="decimal"/>
      <w:lvlText w:val="%1.%2.%3.%4.%5.%6.%7."/>
      <w:lvlJc w:val="left"/>
      <w:pPr>
        <w:ind w:left="6480" w:hanging="2160"/>
      </w:pPr>
      <w:rPr>
        <w:rFonts w:hint="default"/>
      </w:rPr>
    </w:lvl>
    <w:lvl w:ilvl="7" w:tentative="1">
      <w:start w:val="1"/>
      <w:numFmt w:val="decimal"/>
      <w:lvlText w:val="%1.%2.%3.%4.%5.%6.%7.%8."/>
      <w:lvlJc w:val="left"/>
      <w:pPr>
        <w:ind w:left="7560" w:hanging="2520"/>
      </w:pPr>
      <w:rPr>
        <w:rFonts w:hint="default"/>
      </w:rPr>
    </w:lvl>
    <w:lvl w:ilvl="8" w:tentative="1">
      <w:start w:val="1"/>
      <w:numFmt w:val="decimal"/>
      <w:lvlText w:val="%1.%2.%3.%4.%5.%6.%7.%8.%9."/>
      <w:lvlJc w:val="left"/>
      <w:pPr>
        <w:ind w:left="8280" w:hanging="2520"/>
      </w:pPr>
      <w:rPr>
        <w:rFonts w:hint="default"/>
      </w:rPr>
    </w:lvl>
  </w:abstractNum>
  <w:abstractNum w:abstractNumId="27" w15:restartNumberingAfterBreak="0">
    <w:nsid w:val="58F749FD"/>
    <w:multiLevelType w:val="hybridMultilevel"/>
    <w:tmpl w:val="3A4E16BC"/>
    <w:lvl w:ilvl="0" w:tplc="AE80E70A">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5AF771F7"/>
    <w:multiLevelType w:val="hybridMultilevel"/>
    <w:tmpl w:val="9DB4A7AA"/>
    <w:lvl w:ilvl="0" w:tplc="8ED03390">
      <w:start w:val="1"/>
      <w:numFmt w:val="lowerLetter"/>
      <w:lvlText w:val="%1."/>
      <w:lvlJc w:val="left"/>
      <w:pPr>
        <w:ind w:left="2160" w:hanging="360"/>
      </w:pPr>
      <w:rPr>
        <w:b/>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9" w15:restartNumberingAfterBreak="0">
    <w:nsid w:val="61223218"/>
    <w:multiLevelType w:val="hybridMultilevel"/>
    <w:tmpl w:val="F9EEAD7A"/>
    <w:lvl w:ilvl="0" w:tplc="3409000F">
      <w:start w:val="1"/>
      <w:numFmt w:val="decimal"/>
      <w:lvlText w:val="%1."/>
      <w:lvlJc w:val="left"/>
      <w:pPr>
        <w:ind w:left="1620" w:hanging="360"/>
      </w:p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30" w15:restartNumberingAfterBreak="0">
    <w:nsid w:val="657F79CF"/>
    <w:multiLevelType w:val="multilevel"/>
    <w:tmpl w:val="D882B6CE"/>
    <w:lvl w:ilvl="0">
      <w:start w:val="4"/>
      <w:numFmt w:val="decimal"/>
      <w:lvlText w:val="%1"/>
      <w:lvlJc w:val="left"/>
      <w:pPr>
        <w:ind w:left="825" w:hanging="825"/>
      </w:pPr>
      <w:rPr>
        <w:rFonts w:hint="default"/>
      </w:rPr>
    </w:lvl>
    <w:lvl w:ilvl="1">
      <w:start w:val="5"/>
      <w:numFmt w:val="decimal"/>
      <w:lvlText w:val="%1.%2"/>
      <w:lvlJc w:val="left"/>
      <w:pPr>
        <w:ind w:left="1635" w:hanging="825"/>
      </w:pPr>
      <w:rPr>
        <w:rFonts w:hint="default"/>
      </w:rPr>
    </w:lvl>
    <w:lvl w:ilvl="2">
      <w:start w:val="1"/>
      <w:numFmt w:val="decimal"/>
      <w:lvlText w:val="%1.%2.%3"/>
      <w:lvlJc w:val="left"/>
      <w:pPr>
        <w:ind w:left="2700" w:hanging="1080"/>
      </w:pPr>
      <w:rPr>
        <w:rFonts w:hint="default"/>
      </w:rPr>
    </w:lvl>
    <w:lvl w:ilvl="3">
      <w:start w:val="2"/>
      <w:numFmt w:val="decimal"/>
      <w:lvlText w:val="%1.4.%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850" w:hanging="1800"/>
      </w:pPr>
      <w:rPr>
        <w:rFonts w:hint="default"/>
      </w:rPr>
    </w:lvl>
    <w:lvl w:ilvl="6">
      <w:start w:val="1"/>
      <w:numFmt w:val="decimal"/>
      <w:lvlText w:val="%1.%2.%3.%4.%5.%6.%7"/>
      <w:lvlJc w:val="left"/>
      <w:pPr>
        <w:ind w:left="7020" w:hanging="216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9000" w:hanging="2520"/>
      </w:pPr>
      <w:rPr>
        <w:rFonts w:hint="default"/>
      </w:rPr>
    </w:lvl>
  </w:abstractNum>
  <w:abstractNum w:abstractNumId="31" w15:restartNumberingAfterBreak="0">
    <w:nsid w:val="658A32C0"/>
    <w:multiLevelType w:val="multilevel"/>
    <w:tmpl w:val="4A701D18"/>
    <w:lvl w:ilvl="0">
      <w:start w:val="1"/>
      <w:numFmt w:val="lowerLetter"/>
      <w:lvlText w:val="%1."/>
      <w:lvlJc w:val="left"/>
      <w:pPr>
        <w:ind w:left="675" w:hanging="675"/>
      </w:pPr>
      <w:rPr>
        <w:rFonts w:hint="default"/>
        <w:color w:val="auto"/>
      </w:rPr>
    </w:lvl>
    <w:lvl w:ilvl="1">
      <w:start w:val="1"/>
      <w:numFmt w:val="decimal"/>
      <w:lvlText w:val="%1.%2."/>
      <w:lvlJc w:val="left"/>
      <w:pPr>
        <w:ind w:left="900" w:hanging="720"/>
      </w:pPr>
      <w:rPr>
        <w:rFonts w:hint="default"/>
        <w:color w:val="auto"/>
      </w:rPr>
    </w:lvl>
    <w:lvl w:ilvl="2">
      <w:start w:val="1"/>
      <w:numFmt w:val="decimal"/>
      <w:lvlText w:val="%1.%2.%3."/>
      <w:lvlJc w:val="left"/>
      <w:pPr>
        <w:ind w:left="1440" w:hanging="1080"/>
      </w:pPr>
      <w:rPr>
        <w:rFonts w:hint="default"/>
        <w:b/>
        <w:color w:val="auto"/>
      </w:rPr>
    </w:lvl>
    <w:lvl w:ilvl="3">
      <w:start w:val="1"/>
      <w:numFmt w:val="decimal"/>
      <w:lvlText w:val="%1.%2.%3.%4."/>
      <w:lvlJc w:val="left"/>
      <w:pPr>
        <w:ind w:left="1980" w:hanging="1440"/>
      </w:pPr>
      <w:rPr>
        <w:rFonts w:hint="default"/>
        <w:color w:val="auto"/>
      </w:rPr>
    </w:lvl>
    <w:lvl w:ilvl="4">
      <w:start w:val="1"/>
      <w:numFmt w:val="decimal"/>
      <w:lvlText w:val="%1.%2.%3.%4.%5."/>
      <w:lvlJc w:val="left"/>
      <w:pPr>
        <w:ind w:left="2160" w:hanging="1440"/>
      </w:pPr>
      <w:rPr>
        <w:rFonts w:hint="default"/>
        <w:color w:val="auto"/>
      </w:rPr>
    </w:lvl>
    <w:lvl w:ilvl="5">
      <w:start w:val="1"/>
      <w:numFmt w:val="decimal"/>
      <w:lvlText w:val="%1.%2.%3.%4.%5.%6."/>
      <w:lvlJc w:val="left"/>
      <w:pPr>
        <w:ind w:left="2700" w:hanging="1800"/>
      </w:pPr>
      <w:rPr>
        <w:rFonts w:hint="default"/>
        <w:color w:val="auto"/>
      </w:rPr>
    </w:lvl>
    <w:lvl w:ilvl="6" w:tentative="1">
      <w:start w:val="1"/>
      <w:numFmt w:val="decimal"/>
      <w:lvlText w:val="%1.%2.%3.%4.%5.%6.%7."/>
      <w:lvlJc w:val="left"/>
      <w:pPr>
        <w:ind w:left="3240" w:hanging="2160"/>
      </w:pPr>
      <w:rPr>
        <w:rFonts w:hint="default"/>
        <w:color w:val="auto"/>
      </w:rPr>
    </w:lvl>
    <w:lvl w:ilvl="7" w:tentative="1">
      <w:start w:val="1"/>
      <w:numFmt w:val="decimal"/>
      <w:lvlText w:val="%1.%2.%3.%4.%5.%6.%7.%8."/>
      <w:lvlJc w:val="left"/>
      <w:pPr>
        <w:ind w:left="3780" w:hanging="2520"/>
      </w:pPr>
      <w:rPr>
        <w:rFonts w:hint="default"/>
        <w:color w:val="auto"/>
      </w:rPr>
    </w:lvl>
    <w:lvl w:ilvl="8" w:tentative="1">
      <w:start w:val="1"/>
      <w:numFmt w:val="decimal"/>
      <w:lvlText w:val="%1.%2.%3.%4.%5.%6.%7.%8.%9."/>
      <w:lvlJc w:val="left"/>
      <w:pPr>
        <w:ind w:left="3960" w:hanging="2520"/>
      </w:pPr>
      <w:rPr>
        <w:rFonts w:hint="default"/>
        <w:color w:val="auto"/>
      </w:rPr>
    </w:lvl>
  </w:abstractNum>
  <w:abstractNum w:abstractNumId="32" w15:restartNumberingAfterBreak="0">
    <w:nsid w:val="69150F32"/>
    <w:multiLevelType w:val="multilevel"/>
    <w:tmpl w:val="6D9C6684"/>
    <w:lvl w:ilvl="0">
      <w:start w:val="1"/>
      <w:numFmt w:val="lowerLetter"/>
      <w:lvlText w:val="%1."/>
      <w:lvlJc w:val="left"/>
      <w:pPr>
        <w:ind w:left="2340" w:hanging="360"/>
      </w:pPr>
      <w:rPr>
        <w:rFonts w:hint="default"/>
      </w:rPr>
    </w:lvl>
    <w:lvl w:ilvl="1">
      <w:start w:val="1"/>
      <w:numFmt w:val="lowerRoman"/>
      <w:lvlText w:val="%2."/>
      <w:lvlJc w:val="left"/>
      <w:pPr>
        <w:ind w:left="3420" w:hanging="720"/>
      </w:pPr>
      <w:rPr>
        <w:rFonts w:hint="default"/>
      </w:r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3" w15:restartNumberingAfterBreak="0">
    <w:nsid w:val="6A871AD4"/>
    <w:multiLevelType w:val="multilevel"/>
    <w:tmpl w:val="6A871AD4"/>
    <w:lvl w:ilvl="0" w:tentative="1">
      <w:start w:val="8"/>
      <w:numFmt w:val="decimal"/>
      <w:lvlText w:val="%1."/>
      <w:lvlJc w:val="left"/>
      <w:pPr>
        <w:ind w:left="420" w:hanging="420"/>
      </w:pPr>
      <w:rPr>
        <w:rFonts w:hint="default"/>
        <w:b w:val="0"/>
      </w:rPr>
    </w:lvl>
    <w:lvl w:ilvl="1">
      <w:start w:val="1"/>
      <w:numFmt w:val="decimal"/>
      <w:lvlText w:val="%1.%2."/>
      <w:lvlJc w:val="left"/>
      <w:pPr>
        <w:ind w:left="1440" w:hanging="720"/>
      </w:pPr>
      <w:rPr>
        <w:rFonts w:hint="default"/>
        <w:b w:val="0"/>
      </w:rPr>
    </w:lvl>
    <w:lvl w:ilvl="2" w:tentative="1">
      <w:start w:val="1"/>
      <w:numFmt w:val="decimal"/>
      <w:lvlText w:val="%1.%2.%3."/>
      <w:lvlJc w:val="left"/>
      <w:pPr>
        <w:ind w:left="2520" w:hanging="1080"/>
      </w:pPr>
      <w:rPr>
        <w:rFonts w:hint="default"/>
        <w:b w:val="0"/>
      </w:rPr>
    </w:lvl>
    <w:lvl w:ilvl="3" w:tentative="1">
      <w:start w:val="1"/>
      <w:numFmt w:val="decimal"/>
      <w:lvlText w:val="%1.%2.%3.%4."/>
      <w:lvlJc w:val="left"/>
      <w:pPr>
        <w:ind w:left="3600" w:hanging="1440"/>
      </w:pPr>
      <w:rPr>
        <w:rFonts w:hint="default"/>
        <w:b w:val="0"/>
      </w:rPr>
    </w:lvl>
    <w:lvl w:ilvl="4" w:tentative="1">
      <w:start w:val="1"/>
      <w:numFmt w:val="decimal"/>
      <w:lvlText w:val="%1.%2.%3.%4.%5."/>
      <w:lvlJc w:val="left"/>
      <w:pPr>
        <w:ind w:left="4320" w:hanging="1440"/>
      </w:pPr>
      <w:rPr>
        <w:rFonts w:hint="default"/>
        <w:b w:val="0"/>
      </w:rPr>
    </w:lvl>
    <w:lvl w:ilvl="5" w:tentative="1">
      <w:start w:val="1"/>
      <w:numFmt w:val="decimal"/>
      <w:lvlText w:val="%1.%2.%3.%4.%5.%6."/>
      <w:lvlJc w:val="left"/>
      <w:pPr>
        <w:ind w:left="5400" w:hanging="1800"/>
      </w:pPr>
      <w:rPr>
        <w:rFonts w:hint="default"/>
        <w:b w:val="0"/>
      </w:rPr>
    </w:lvl>
    <w:lvl w:ilvl="6" w:tentative="1">
      <w:start w:val="1"/>
      <w:numFmt w:val="decimal"/>
      <w:lvlText w:val="%1.%2.%3.%4.%5.%6.%7."/>
      <w:lvlJc w:val="left"/>
      <w:pPr>
        <w:ind w:left="6480" w:hanging="2160"/>
      </w:pPr>
      <w:rPr>
        <w:rFonts w:hint="default"/>
        <w:b w:val="0"/>
      </w:rPr>
    </w:lvl>
    <w:lvl w:ilvl="7" w:tentative="1">
      <w:start w:val="1"/>
      <w:numFmt w:val="decimal"/>
      <w:lvlText w:val="%1.%2.%3.%4.%5.%6.%7.%8."/>
      <w:lvlJc w:val="left"/>
      <w:pPr>
        <w:ind w:left="7560" w:hanging="2520"/>
      </w:pPr>
      <w:rPr>
        <w:rFonts w:hint="default"/>
        <w:b w:val="0"/>
      </w:rPr>
    </w:lvl>
    <w:lvl w:ilvl="8" w:tentative="1">
      <w:start w:val="1"/>
      <w:numFmt w:val="decimal"/>
      <w:lvlText w:val="%1.%2.%3.%4.%5.%6.%7.%8.%9."/>
      <w:lvlJc w:val="left"/>
      <w:pPr>
        <w:ind w:left="8280" w:hanging="2520"/>
      </w:pPr>
      <w:rPr>
        <w:rFonts w:hint="default"/>
        <w:b w:val="0"/>
      </w:rPr>
    </w:lvl>
  </w:abstractNum>
  <w:abstractNum w:abstractNumId="34" w15:restartNumberingAfterBreak="0">
    <w:nsid w:val="6B1B469F"/>
    <w:multiLevelType w:val="hybridMultilevel"/>
    <w:tmpl w:val="06EE32CE"/>
    <w:lvl w:ilvl="0" w:tplc="0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6DB5759D"/>
    <w:multiLevelType w:val="multilevel"/>
    <w:tmpl w:val="CF8826C8"/>
    <w:lvl w:ilvl="0">
      <w:start w:val="1"/>
      <w:numFmt w:val="decimal"/>
      <w:pStyle w:val="Heading1"/>
      <w:lvlText w:val="Section %1."/>
      <w:lvlJc w:val="left"/>
      <w:pPr>
        <w:ind w:left="36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3222" w:hanging="432"/>
      </w:pPr>
      <w:rPr>
        <w:rFonts w:ascii="Tahoma" w:hAnsi="Tahoma" w:cs="Tahoma"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ascii="Tahoma" w:hAnsi="Tahoma" w:cs="Tahoma"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21243E"/>
    <w:multiLevelType w:val="multilevel"/>
    <w:tmpl w:val="6F21243E"/>
    <w:lvl w:ilvl="0">
      <w:start w:val="1"/>
      <w:numFmt w:val="decimal"/>
      <w:lvlText w:val="4.%1"/>
      <w:lvlJc w:val="left"/>
      <w:pPr>
        <w:ind w:left="990" w:hanging="360"/>
      </w:pPr>
      <w:rPr>
        <w:rFonts w:hint="default"/>
        <w:b/>
      </w:rPr>
    </w:lvl>
    <w:lvl w:ilvl="1" w:tentative="1">
      <w:start w:val="1"/>
      <w:numFmt w:val="lowerLetter"/>
      <w:lvlText w:val="%2."/>
      <w:lvlJc w:val="left"/>
      <w:pPr>
        <w:ind w:left="1710" w:hanging="360"/>
      </w:pPr>
      <w:rPr>
        <w:rFonts w:hint="default"/>
      </w:rPr>
    </w:lvl>
    <w:lvl w:ilvl="2" w:tentative="1">
      <w:start w:val="1"/>
      <w:numFmt w:val="lowerRoman"/>
      <w:lvlText w:val="%3."/>
      <w:lvlJc w:val="right"/>
      <w:pPr>
        <w:ind w:left="2430" w:hanging="180"/>
      </w:pPr>
      <w:rPr>
        <w:rFonts w:hint="default"/>
      </w:rPr>
    </w:lvl>
    <w:lvl w:ilvl="3" w:tentative="1">
      <w:start w:val="1"/>
      <w:numFmt w:val="decimal"/>
      <w:lvlText w:val="%4."/>
      <w:lvlJc w:val="left"/>
      <w:pPr>
        <w:ind w:left="3150" w:hanging="360"/>
      </w:pPr>
      <w:rPr>
        <w:rFonts w:hint="default"/>
      </w:rPr>
    </w:lvl>
    <w:lvl w:ilvl="4" w:tentative="1">
      <w:start w:val="1"/>
      <w:numFmt w:val="lowerLetter"/>
      <w:lvlText w:val="%5."/>
      <w:lvlJc w:val="left"/>
      <w:pPr>
        <w:ind w:left="3870" w:hanging="360"/>
      </w:pPr>
      <w:rPr>
        <w:rFonts w:hint="default"/>
      </w:rPr>
    </w:lvl>
    <w:lvl w:ilvl="5" w:tentative="1">
      <w:start w:val="1"/>
      <w:numFmt w:val="lowerRoman"/>
      <w:lvlText w:val="%6."/>
      <w:lvlJc w:val="right"/>
      <w:pPr>
        <w:ind w:left="4590" w:hanging="180"/>
      </w:pPr>
      <w:rPr>
        <w:rFonts w:hint="default"/>
      </w:rPr>
    </w:lvl>
    <w:lvl w:ilvl="6" w:tentative="1">
      <w:start w:val="1"/>
      <w:numFmt w:val="decimal"/>
      <w:lvlText w:val="%7."/>
      <w:lvlJc w:val="left"/>
      <w:pPr>
        <w:ind w:left="5310" w:hanging="360"/>
      </w:pPr>
      <w:rPr>
        <w:rFonts w:hint="default"/>
      </w:rPr>
    </w:lvl>
    <w:lvl w:ilvl="7" w:tentative="1">
      <w:start w:val="1"/>
      <w:numFmt w:val="lowerLetter"/>
      <w:lvlText w:val="%8."/>
      <w:lvlJc w:val="left"/>
      <w:pPr>
        <w:ind w:left="6030" w:hanging="360"/>
      </w:pPr>
      <w:rPr>
        <w:rFonts w:hint="default"/>
      </w:rPr>
    </w:lvl>
    <w:lvl w:ilvl="8" w:tentative="1">
      <w:start w:val="1"/>
      <w:numFmt w:val="lowerRoman"/>
      <w:lvlText w:val="%9."/>
      <w:lvlJc w:val="right"/>
      <w:pPr>
        <w:ind w:left="6750" w:hanging="180"/>
      </w:pPr>
      <w:rPr>
        <w:rFonts w:hint="default"/>
      </w:rPr>
    </w:lvl>
  </w:abstractNum>
  <w:abstractNum w:abstractNumId="37" w15:restartNumberingAfterBreak="0">
    <w:nsid w:val="6FF2683F"/>
    <w:multiLevelType w:val="multilevel"/>
    <w:tmpl w:val="6FF2683F"/>
    <w:lvl w:ilvl="0" w:tentative="1">
      <w:start w:val="1"/>
      <w:numFmt w:val="decimal"/>
      <w:lvlText w:val="7.%1"/>
      <w:lvlJc w:val="left"/>
      <w:pPr>
        <w:ind w:left="2160" w:hanging="360"/>
      </w:pPr>
      <w:rPr>
        <w:rFonts w:hint="default"/>
      </w:rPr>
    </w:lvl>
    <w:lvl w:ilvl="1" w:tentative="1">
      <w:start w:val="1"/>
      <w:numFmt w:val="lowerLetter"/>
      <w:lvlText w:val="%2."/>
      <w:lvlJc w:val="left"/>
      <w:pPr>
        <w:ind w:left="1440" w:hanging="360"/>
      </w:pPr>
      <w:rPr>
        <w:rFonts w:hint="default"/>
      </w:rPr>
    </w:lvl>
    <w:lvl w:ilvl="2">
      <w:start w:val="1"/>
      <w:numFmt w:val="decimal"/>
      <w:lvlText w:val="6.3.%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38" w15:restartNumberingAfterBreak="0">
    <w:nsid w:val="70CB70DD"/>
    <w:multiLevelType w:val="multilevel"/>
    <w:tmpl w:val="70CB70DD"/>
    <w:lvl w:ilvl="0" w:tentative="1">
      <w:start w:val="7"/>
      <w:numFmt w:val="decimal"/>
      <w:lvlText w:val="%1."/>
      <w:lvlJc w:val="left"/>
      <w:pPr>
        <w:ind w:left="420" w:hanging="420"/>
      </w:pPr>
      <w:rPr>
        <w:rFonts w:hint="default"/>
      </w:rPr>
    </w:lvl>
    <w:lvl w:ilvl="1">
      <w:start w:val="2"/>
      <w:numFmt w:val="none"/>
      <w:lvlText w:val="6.2."/>
      <w:lvlJc w:val="left"/>
      <w:pPr>
        <w:ind w:left="1440" w:hanging="720"/>
      </w:pPr>
      <w:rPr>
        <w:rFonts w:hint="default"/>
      </w:rPr>
    </w:lvl>
    <w:lvl w:ilvl="2" w:tentative="1">
      <w:start w:val="1"/>
      <w:numFmt w:val="none"/>
      <w:lvlText w:val="6.2.1"/>
      <w:lvlJc w:val="left"/>
      <w:pPr>
        <w:ind w:left="2520" w:hanging="1080"/>
      </w:pPr>
      <w:rPr>
        <w:rFonts w:hint="default"/>
      </w:rPr>
    </w:lvl>
    <w:lvl w:ilvl="3" w:tentative="1">
      <w:start w:val="1"/>
      <w:numFmt w:val="decimal"/>
      <w:lvlText w:val="%1.%2.%3.%4."/>
      <w:lvlJc w:val="left"/>
      <w:pPr>
        <w:ind w:left="3240" w:hanging="1080"/>
      </w:pPr>
      <w:rPr>
        <w:rFonts w:hint="default"/>
      </w:rPr>
    </w:lvl>
    <w:lvl w:ilvl="4" w:tentative="1">
      <w:start w:val="1"/>
      <w:numFmt w:val="decimal"/>
      <w:lvlText w:val="%1.%2.%3.%4.%5."/>
      <w:lvlJc w:val="left"/>
      <w:pPr>
        <w:ind w:left="4320" w:hanging="1440"/>
      </w:pPr>
      <w:rPr>
        <w:rFonts w:hint="default"/>
      </w:rPr>
    </w:lvl>
    <w:lvl w:ilvl="5" w:tentative="1">
      <w:start w:val="1"/>
      <w:numFmt w:val="decimal"/>
      <w:lvlText w:val="%1.%2.%3.%4.%5.%6."/>
      <w:lvlJc w:val="left"/>
      <w:pPr>
        <w:ind w:left="5400" w:hanging="1800"/>
      </w:pPr>
      <w:rPr>
        <w:rFonts w:hint="default"/>
      </w:rPr>
    </w:lvl>
    <w:lvl w:ilvl="6" w:tentative="1">
      <w:start w:val="1"/>
      <w:numFmt w:val="decimal"/>
      <w:lvlText w:val="%1.%2.%3.%4.%5.%6.%7."/>
      <w:lvlJc w:val="left"/>
      <w:pPr>
        <w:ind w:left="6120" w:hanging="1800"/>
      </w:pPr>
      <w:rPr>
        <w:rFonts w:hint="default"/>
      </w:rPr>
    </w:lvl>
    <w:lvl w:ilvl="7" w:tentative="1">
      <w:start w:val="1"/>
      <w:numFmt w:val="decimal"/>
      <w:lvlText w:val="%1.%2.%3.%4.%5.%6.%7.%8."/>
      <w:lvlJc w:val="left"/>
      <w:pPr>
        <w:ind w:left="7200" w:hanging="2160"/>
      </w:pPr>
      <w:rPr>
        <w:rFonts w:hint="default"/>
      </w:rPr>
    </w:lvl>
    <w:lvl w:ilvl="8" w:tentative="1">
      <w:start w:val="1"/>
      <w:numFmt w:val="decimal"/>
      <w:lvlText w:val="%1.%2.%3.%4.%5.%6.%7.%8.%9."/>
      <w:lvlJc w:val="left"/>
      <w:pPr>
        <w:ind w:left="8280" w:hanging="2520"/>
      </w:pPr>
      <w:rPr>
        <w:rFonts w:hint="default"/>
      </w:rPr>
    </w:lvl>
  </w:abstractNum>
  <w:abstractNum w:abstractNumId="39" w15:restartNumberingAfterBreak="0">
    <w:nsid w:val="70F77B1C"/>
    <w:multiLevelType w:val="hybridMultilevel"/>
    <w:tmpl w:val="85767CF0"/>
    <w:lvl w:ilvl="0" w:tplc="9926F11E">
      <w:start w:val="1"/>
      <w:numFmt w:val="lowerLetter"/>
      <w:pStyle w:val="SubLettering"/>
      <w:lvlText w:val="%1."/>
      <w:lvlJc w:val="left"/>
      <w:pPr>
        <w:ind w:left="3149"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90019">
      <w:start w:val="1"/>
      <w:numFmt w:val="lowerLetter"/>
      <w:lvlText w:val="%2."/>
      <w:lvlJc w:val="left"/>
      <w:pPr>
        <w:ind w:left="3869" w:hanging="360"/>
      </w:pPr>
    </w:lvl>
    <w:lvl w:ilvl="2" w:tplc="3409001B" w:tentative="1">
      <w:start w:val="1"/>
      <w:numFmt w:val="lowerRoman"/>
      <w:lvlText w:val="%3."/>
      <w:lvlJc w:val="right"/>
      <w:pPr>
        <w:ind w:left="4589" w:hanging="180"/>
      </w:pPr>
    </w:lvl>
    <w:lvl w:ilvl="3" w:tplc="3409000F" w:tentative="1">
      <w:start w:val="1"/>
      <w:numFmt w:val="decimal"/>
      <w:lvlText w:val="%4."/>
      <w:lvlJc w:val="left"/>
      <w:pPr>
        <w:ind w:left="5309" w:hanging="360"/>
      </w:pPr>
    </w:lvl>
    <w:lvl w:ilvl="4" w:tplc="34090019" w:tentative="1">
      <w:start w:val="1"/>
      <w:numFmt w:val="lowerLetter"/>
      <w:lvlText w:val="%5."/>
      <w:lvlJc w:val="left"/>
      <w:pPr>
        <w:ind w:left="6029" w:hanging="360"/>
      </w:pPr>
    </w:lvl>
    <w:lvl w:ilvl="5" w:tplc="3409001B" w:tentative="1">
      <w:start w:val="1"/>
      <w:numFmt w:val="lowerRoman"/>
      <w:lvlText w:val="%6."/>
      <w:lvlJc w:val="right"/>
      <w:pPr>
        <w:ind w:left="6749" w:hanging="180"/>
      </w:pPr>
    </w:lvl>
    <w:lvl w:ilvl="6" w:tplc="3409000F" w:tentative="1">
      <w:start w:val="1"/>
      <w:numFmt w:val="decimal"/>
      <w:lvlText w:val="%7."/>
      <w:lvlJc w:val="left"/>
      <w:pPr>
        <w:ind w:left="7469" w:hanging="360"/>
      </w:pPr>
    </w:lvl>
    <w:lvl w:ilvl="7" w:tplc="34090019" w:tentative="1">
      <w:start w:val="1"/>
      <w:numFmt w:val="lowerLetter"/>
      <w:lvlText w:val="%8."/>
      <w:lvlJc w:val="left"/>
      <w:pPr>
        <w:ind w:left="8189" w:hanging="360"/>
      </w:pPr>
    </w:lvl>
    <w:lvl w:ilvl="8" w:tplc="3409001B" w:tentative="1">
      <w:start w:val="1"/>
      <w:numFmt w:val="lowerRoman"/>
      <w:lvlText w:val="%9."/>
      <w:lvlJc w:val="right"/>
      <w:pPr>
        <w:ind w:left="8909" w:hanging="180"/>
      </w:pPr>
    </w:lvl>
  </w:abstractNum>
  <w:abstractNum w:abstractNumId="40" w15:restartNumberingAfterBreak="0">
    <w:nsid w:val="73072B83"/>
    <w:multiLevelType w:val="multilevel"/>
    <w:tmpl w:val="73072B83"/>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15:restartNumberingAfterBreak="0">
    <w:nsid w:val="736D614B"/>
    <w:multiLevelType w:val="multilevel"/>
    <w:tmpl w:val="736D614B"/>
    <w:lvl w:ilvl="0" w:tentative="1">
      <w:start w:val="2"/>
      <w:numFmt w:val="decimal"/>
      <w:lvlText w:val="%1."/>
      <w:lvlJc w:val="left"/>
      <w:pPr>
        <w:ind w:left="420" w:hanging="420"/>
      </w:pPr>
      <w:rPr>
        <w:rFonts w:hint="default"/>
      </w:rPr>
    </w:lvl>
    <w:lvl w:ilvl="1">
      <w:start w:val="2"/>
      <w:numFmt w:val="decimal"/>
      <w:lvlText w:val="2.%2"/>
      <w:lvlJc w:val="left"/>
      <w:pPr>
        <w:ind w:left="1440" w:hanging="720"/>
      </w:pPr>
      <w:rPr>
        <w:rFonts w:hint="default"/>
        <w:b/>
      </w:rPr>
    </w:lvl>
    <w:lvl w:ilvl="2" w:tentative="1">
      <w:start w:val="1"/>
      <w:numFmt w:val="decimal"/>
      <w:lvlText w:val="%1.%2.%3."/>
      <w:lvlJc w:val="left"/>
      <w:pPr>
        <w:ind w:left="2520" w:hanging="1080"/>
      </w:pPr>
      <w:rPr>
        <w:rFonts w:hint="default"/>
      </w:rPr>
    </w:lvl>
    <w:lvl w:ilvl="3" w:tentative="1">
      <w:start w:val="1"/>
      <w:numFmt w:val="decimal"/>
      <w:lvlText w:val="%1.%2.%3.%4."/>
      <w:lvlJc w:val="left"/>
      <w:pPr>
        <w:ind w:left="3240" w:hanging="1080"/>
      </w:pPr>
      <w:rPr>
        <w:rFonts w:hint="default"/>
      </w:rPr>
    </w:lvl>
    <w:lvl w:ilvl="4" w:tentative="1">
      <w:start w:val="1"/>
      <w:numFmt w:val="decimal"/>
      <w:lvlText w:val="%1.%2.%3.%4.%5."/>
      <w:lvlJc w:val="left"/>
      <w:pPr>
        <w:ind w:left="4320" w:hanging="1440"/>
      </w:pPr>
      <w:rPr>
        <w:rFonts w:hint="default"/>
      </w:rPr>
    </w:lvl>
    <w:lvl w:ilvl="5" w:tentative="1">
      <w:start w:val="1"/>
      <w:numFmt w:val="decimal"/>
      <w:lvlText w:val="%1.%2.%3.%4.%5.%6."/>
      <w:lvlJc w:val="left"/>
      <w:pPr>
        <w:ind w:left="5400" w:hanging="1800"/>
      </w:pPr>
      <w:rPr>
        <w:rFonts w:hint="default"/>
      </w:rPr>
    </w:lvl>
    <w:lvl w:ilvl="6" w:tentative="1">
      <w:start w:val="1"/>
      <w:numFmt w:val="decimal"/>
      <w:lvlText w:val="%1.%2.%3.%4.%5.%6.%7."/>
      <w:lvlJc w:val="left"/>
      <w:pPr>
        <w:ind w:left="6120" w:hanging="1800"/>
      </w:pPr>
      <w:rPr>
        <w:rFonts w:hint="default"/>
      </w:rPr>
    </w:lvl>
    <w:lvl w:ilvl="7" w:tentative="1">
      <w:start w:val="1"/>
      <w:numFmt w:val="decimal"/>
      <w:lvlText w:val="%1.%2.%3.%4.%5.%6.%7.%8."/>
      <w:lvlJc w:val="left"/>
      <w:pPr>
        <w:ind w:left="7200" w:hanging="2160"/>
      </w:pPr>
      <w:rPr>
        <w:rFonts w:hint="default"/>
      </w:rPr>
    </w:lvl>
    <w:lvl w:ilvl="8" w:tentative="1">
      <w:start w:val="1"/>
      <w:numFmt w:val="decimal"/>
      <w:lvlText w:val="%1.%2.%3.%4.%5.%6.%7.%8.%9."/>
      <w:lvlJc w:val="left"/>
      <w:pPr>
        <w:ind w:left="8280" w:hanging="2520"/>
      </w:pPr>
      <w:rPr>
        <w:rFonts w:hint="default"/>
      </w:rPr>
    </w:lvl>
  </w:abstractNum>
  <w:abstractNum w:abstractNumId="42" w15:restartNumberingAfterBreak="0">
    <w:nsid w:val="74B924FC"/>
    <w:multiLevelType w:val="multilevel"/>
    <w:tmpl w:val="74B924FC"/>
    <w:lvl w:ilvl="0">
      <w:start w:val="1"/>
      <w:numFmt w:val="lowerLetter"/>
      <w:lvlText w:val="%1."/>
      <w:lvlJc w:val="left"/>
      <w:pPr>
        <w:ind w:left="360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3" w15:restartNumberingAfterBreak="0">
    <w:nsid w:val="7A345DC2"/>
    <w:multiLevelType w:val="hybridMultilevel"/>
    <w:tmpl w:val="295279B6"/>
    <w:lvl w:ilvl="0" w:tplc="0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B3D3924"/>
    <w:multiLevelType w:val="multilevel"/>
    <w:tmpl w:val="7B3D3924"/>
    <w:lvl w:ilvl="0" w:tentative="1">
      <w:start w:val="6"/>
      <w:numFmt w:val="decimal"/>
      <w:lvlText w:val="%1)"/>
      <w:lvlJc w:val="left"/>
      <w:pPr>
        <w:ind w:left="360" w:hanging="360"/>
      </w:pPr>
      <w:rPr>
        <w:rFonts w:hint="default"/>
      </w:rPr>
    </w:lvl>
    <w:lvl w:ilvl="1" w:tentative="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tentative="1">
      <w:start w:val="1"/>
      <w:numFmt w:val="decimal"/>
      <w:lvlText w:val="(%4)"/>
      <w:lvlJc w:val="left"/>
      <w:pPr>
        <w:ind w:left="1440" w:hanging="360"/>
      </w:pPr>
      <w:rPr>
        <w:rFonts w:hint="default"/>
      </w:rPr>
    </w:lvl>
    <w:lvl w:ilvl="4" w:tentative="1">
      <w:start w:val="1"/>
      <w:numFmt w:val="lowerLetter"/>
      <w:lvlText w:val="(%5)"/>
      <w:lvlJc w:val="left"/>
      <w:pPr>
        <w:ind w:left="1800" w:hanging="360"/>
      </w:pPr>
      <w:rPr>
        <w:rFonts w:hint="default"/>
      </w:rPr>
    </w:lvl>
    <w:lvl w:ilvl="5" w:tentative="1">
      <w:start w:val="1"/>
      <w:numFmt w:val="lowerRoman"/>
      <w:lvlText w:val="(%6)"/>
      <w:lvlJc w:val="left"/>
      <w:pPr>
        <w:ind w:left="2160" w:hanging="360"/>
      </w:pPr>
      <w:rPr>
        <w:rFonts w:hint="default"/>
      </w:rPr>
    </w:lvl>
    <w:lvl w:ilvl="6" w:tentative="1">
      <w:start w:val="1"/>
      <w:numFmt w:val="decimal"/>
      <w:lvlText w:val="%7."/>
      <w:lvlJc w:val="left"/>
      <w:pPr>
        <w:ind w:left="2520" w:hanging="360"/>
      </w:pPr>
      <w:rPr>
        <w:rFonts w:hint="default"/>
      </w:rPr>
    </w:lvl>
    <w:lvl w:ilvl="7" w:tentative="1">
      <w:start w:val="1"/>
      <w:numFmt w:val="lowerLetter"/>
      <w:lvlText w:val="%8."/>
      <w:lvlJc w:val="left"/>
      <w:pPr>
        <w:ind w:left="2880" w:hanging="360"/>
      </w:pPr>
      <w:rPr>
        <w:rFonts w:hint="default"/>
      </w:rPr>
    </w:lvl>
    <w:lvl w:ilvl="8" w:tentative="1">
      <w:start w:val="1"/>
      <w:numFmt w:val="lowerRoman"/>
      <w:lvlText w:val="%9."/>
      <w:lvlJc w:val="left"/>
      <w:pPr>
        <w:ind w:left="3240" w:hanging="360"/>
      </w:pPr>
      <w:rPr>
        <w:rFonts w:hint="default"/>
      </w:rPr>
    </w:lvl>
  </w:abstractNum>
  <w:abstractNum w:abstractNumId="45" w15:restartNumberingAfterBreak="0">
    <w:nsid w:val="7B6522FA"/>
    <w:multiLevelType w:val="hybridMultilevel"/>
    <w:tmpl w:val="92C2B00A"/>
    <w:lvl w:ilvl="0" w:tplc="816EF932">
      <w:start w:val="1"/>
      <w:numFmt w:val="lowerLetter"/>
      <w:lvlText w:val="%1."/>
      <w:lvlJc w:val="left"/>
      <w:pPr>
        <w:ind w:left="2340" w:hanging="360"/>
      </w:pPr>
      <w:rPr>
        <w:rFonts w:hint="default"/>
      </w:rPr>
    </w:lvl>
    <w:lvl w:ilvl="1" w:tplc="34090019" w:tentative="1">
      <w:start w:val="1"/>
      <w:numFmt w:val="lowerLetter"/>
      <w:lvlText w:val="%2."/>
      <w:lvlJc w:val="left"/>
      <w:pPr>
        <w:ind w:left="3060" w:hanging="360"/>
      </w:pPr>
    </w:lvl>
    <w:lvl w:ilvl="2" w:tplc="3409001B" w:tentative="1">
      <w:start w:val="1"/>
      <w:numFmt w:val="lowerRoman"/>
      <w:lvlText w:val="%3."/>
      <w:lvlJc w:val="right"/>
      <w:pPr>
        <w:ind w:left="3780" w:hanging="180"/>
      </w:pPr>
    </w:lvl>
    <w:lvl w:ilvl="3" w:tplc="3409000F" w:tentative="1">
      <w:start w:val="1"/>
      <w:numFmt w:val="decimal"/>
      <w:lvlText w:val="%4."/>
      <w:lvlJc w:val="left"/>
      <w:pPr>
        <w:ind w:left="4500" w:hanging="360"/>
      </w:pPr>
    </w:lvl>
    <w:lvl w:ilvl="4" w:tplc="34090019" w:tentative="1">
      <w:start w:val="1"/>
      <w:numFmt w:val="lowerLetter"/>
      <w:lvlText w:val="%5."/>
      <w:lvlJc w:val="left"/>
      <w:pPr>
        <w:ind w:left="5220" w:hanging="360"/>
      </w:pPr>
    </w:lvl>
    <w:lvl w:ilvl="5" w:tplc="3409001B" w:tentative="1">
      <w:start w:val="1"/>
      <w:numFmt w:val="lowerRoman"/>
      <w:lvlText w:val="%6."/>
      <w:lvlJc w:val="right"/>
      <w:pPr>
        <w:ind w:left="5940" w:hanging="180"/>
      </w:pPr>
    </w:lvl>
    <w:lvl w:ilvl="6" w:tplc="3409000F" w:tentative="1">
      <w:start w:val="1"/>
      <w:numFmt w:val="decimal"/>
      <w:lvlText w:val="%7."/>
      <w:lvlJc w:val="left"/>
      <w:pPr>
        <w:ind w:left="6660" w:hanging="360"/>
      </w:pPr>
    </w:lvl>
    <w:lvl w:ilvl="7" w:tplc="34090019" w:tentative="1">
      <w:start w:val="1"/>
      <w:numFmt w:val="lowerLetter"/>
      <w:lvlText w:val="%8."/>
      <w:lvlJc w:val="left"/>
      <w:pPr>
        <w:ind w:left="7380" w:hanging="360"/>
      </w:pPr>
    </w:lvl>
    <w:lvl w:ilvl="8" w:tplc="3409001B" w:tentative="1">
      <w:start w:val="1"/>
      <w:numFmt w:val="lowerRoman"/>
      <w:lvlText w:val="%9."/>
      <w:lvlJc w:val="right"/>
      <w:pPr>
        <w:ind w:left="8100" w:hanging="180"/>
      </w:pPr>
    </w:lvl>
  </w:abstractNum>
  <w:abstractNum w:abstractNumId="46" w15:restartNumberingAfterBreak="0">
    <w:nsid w:val="7C692962"/>
    <w:multiLevelType w:val="hybridMultilevel"/>
    <w:tmpl w:val="F6941E0A"/>
    <w:lvl w:ilvl="0" w:tplc="04090001">
      <w:start w:val="1"/>
      <w:numFmt w:val="bullet"/>
      <w:lvlText w:val=""/>
      <w:lvlJc w:val="left"/>
      <w:pPr>
        <w:ind w:left="1080" w:hanging="360"/>
      </w:pPr>
      <w:rPr>
        <w:rFonts w:ascii="Symbol" w:hAnsi="Symbol"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7D3E09D5"/>
    <w:multiLevelType w:val="multilevel"/>
    <w:tmpl w:val="D0922136"/>
    <w:lvl w:ilvl="0">
      <w:start w:val="5"/>
      <w:numFmt w:val="decimal"/>
      <w:lvlText w:val="%1"/>
      <w:lvlJc w:val="left"/>
      <w:pPr>
        <w:ind w:left="600" w:hanging="60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48" w15:restartNumberingAfterBreak="0">
    <w:nsid w:val="7E5C73AB"/>
    <w:multiLevelType w:val="multilevel"/>
    <w:tmpl w:val="3EB06900"/>
    <w:lvl w:ilvl="0">
      <w:start w:val="1"/>
      <w:numFmt w:val="lowerLetter"/>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41"/>
  </w:num>
  <w:num w:numId="2">
    <w:abstractNumId w:val="1"/>
  </w:num>
  <w:num w:numId="3">
    <w:abstractNumId w:val="36"/>
  </w:num>
  <w:num w:numId="4">
    <w:abstractNumId w:val="26"/>
  </w:num>
  <w:num w:numId="5">
    <w:abstractNumId w:val="11"/>
  </w:num>
  <w:num w:numId="6">
    <w:abstractNumId w:val="20"/>
  </w:num>
  <w:num w:numId="7">
    <w:abstractNumId w:val="32"/>
  </w:num>
  <w:num w:numId="8">
    <w:abstractNumId w:val="48"/>
  </w:num>
  <w:num w:numId="9">
    <w:abstractNumId w:val="40"/>
  </w:num>
  <w:num w:numId="10">
    <w:abstractNumId w:val="23"/>
  </w:num>
  <w:num w:numId="11">
    <w:abstractNumId w:val="44"/>
  </w:num>
  <w:num w:numId="12">
    <w:abstractNumId w:val="38"/>
  </w:num>
  <w:num w:numId="13">
    <w:abstractNumId w:val="9"/>
  </w:num>
  <w:num w:numId="14">
    <w:abstractNumId w:val="37"/>
  </w:num>
  <w:num w:numId="15">
    <w:abstractNumId w:val="24"/>
  </w:num>
  <w:num w:numId="16">
    <w:abstractNumId w:val="5"/>
  </w:num>
  <w:num w:numId="17">
    <w:abstractNumId w:val="42"/>
  </w:num>
  <w:num w:numId="18">
    <w:abstractNumId w:val="14"/>
  </w:num>
  <w:num w:numId="19">
    <w:abstractNumId w:val="33"/>
  </w:num>
  <w:num w:numId="20">
    <w:abstractNumId w:val="3"/>
  </w:num>
  <w:num w:numId="21">
    <w:abstractNumId w:val="6"/>
  </w:num>
  <w:num w:numId="22">
    <w:abstractNumId w:val="27"/>
  </w:num>
  <w:num w:numId="23">
    <w:abstractNumId w:val="29"/>
  </w:num>
  <w:num w:numId="24">
    <w:abstractNumId w:val="8"/>
  </w:num>
  <w:num w:numId="25">
    <w:abstractNumId w:val="17"/>
  </w:num>
  <w:num w:numId="26">
    <w:abstractNumId w:val="35"/>
  </w:num>
  <w:num w:numId="27">
    <w:abstractNumId w:val="10"/>
  </w:num>
  <w:num w:numId="28">
    <w:abstractNumId w:val="45"/>
  </w:num>
  <w:num w:numId="29">
    <w:abstractNumId w:val="18"/>
  </w:num>
  <w:num w:numId="30">
    <w:abstractNumId w:val="2"/>
  </w:num>
  <w:num w:numId="31">
    <w:abstractNumId w:val="28"/>
  </w:num>
  <w:num w:numId="32">
    <w:abstractNumId w:val="31"/>
  </w:num>
  <w:num w:numId="33">
    <w:abstractNumId w:val="13"/>
  </w:num>
  <w:num w:numId="34">
    <w:abstractNumId w:val="12"/>
  </w:num>
  <w:num w:numId="35">
    <w:abstractNumId w:val="15"/>
  </w:num>
  <w:num w:numId="36">
    <w:abstractNumId w:val="30"/>
  </w:num>
  <w:num w:numId="37">
    <w:abstractNumId w:val="39"/>
  </w:num>
  <w:num w:numId="38">
    <w:abstractNumId w:val="4"/>
  </w:num>
  <w:num w:numId="39">
    <w:abstractNumId w:val="47"/>
  </w:num>
  <w:num w:numId="40">
    <w:abstractNumId w:val="39"/>
    <w:lvlOverride w:ilvl="0">
      <w:startOverride w:val="1"/>
    </w:lvlOverride>
  </w:num>
  <w:num w:numId="41">
    <w:abstractNumId w:val="39"/>
    <w:lvlOverride w:ilvl="0">
      <w:startOverride w:val="1"/>
    </w:lvlOverride>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7"/>
  </w:num>
  <w:num w:numId="46">
    <w:abstractNumId w:val="39"/>
    <w:lvlOverride w:ilvl="0">
      <w:startOverride w:val="1"/>
    </w:lvlOverride>
  </w:num>
  <w:num w:numId="47">
    <w:abstractNumId w:val="39"/>
    <w:lvlOverride w:ilvl="0">
      <w:startOverride w:val="1"/>
    </w:lvlOverride>
  </w:num>
  <w:num w:numId="48">
    <w:abstractNumId w:val="39"/>
    <w:lvlOverride w:ilvl="0">
      <w:startOverride w:val="1"/>
    </w:lvlOverride>
  </w:num>
  <w:num w:numId="49">
    <w:abstractNumId w:val="39"/>
    <w:lvlOverride w:ilvl="0">
      <w:startOverride w:val="1"/>
    </w:lvlOverride>
  </w:num>
  <w:num w:numId="50">
    <w:abstractNumId w:val="39"/>
    <w:lvlOverride w:ilvl="0">
      <w:startOverride w:val="1"/>
    </w:lvlOverride>
  </w:num>
  <w:num w:numId="51">
    <w:abstractNumId w:val="39"/>
    <w:lvlOverride w:ilvl="0">
      <w:startOverride w:val="1"/>
    </w:lvlOverride>
  </w:num>
  <w:num w:numId="52">
    <w:abstractNumId w:val="39"/>
    <w:lvlOverride w:ilvl="0">
      <w:startOverride w:val="1"/>
    </w:lvlOverride>
  </w:num>
  <w:num w:numId="53">
    <w:abstractNumId w:val="39"/>
    <w:lvlOverride w:ilvl="0">
      <w:startOverride w:val="1"/>
    </w:lvlOverride>
  </w:num>
  <w:num w:numId="54">
    <w:abstractNumId w:val="39"/>
    <w:lvlOverride w:ilvl="0">
      <w:startOverride w:val="1"/>
    </w:lvlOverride>
  </w:num>
  <w:num w:numId="55">
    <w:abstractNumId w:val="43"/>
  </w:num>
  <w:num w:numId="56">
    <w:abstractNumId w:val="34"/>
  </w:num>
  <w:num w:numId="57">
    <w:abstractNumId w:val="16"/>
  </w:num>
  <w:num w:numId="58">
    <w:abstractNumId w:val="22"/>
  </w:num>
  <w:num w:numId="59">
    <w:abstractNumId w:val="25"/>
  </w:num>
  <w:num w:numId="60">
    <w:abstractNumId w:val="19"/>
  </w:num>
  <w:num w:numId="61">
    <w:abstractNumId w:val="46"/>
  </w:num>
  <w:num w:numId="62">
    <w:abstractNumId w:val="39"/>
    <w:lvlOverride w:ilvl="0">
      <w:startOverride w:val="1"/>
    </w:lvlOverride>
  </w:num>
  <w:num w:numId="63">
    <w:abstractNumId w:val="21"/>
  </w:num>
  <w:num w:numId="64">
    <w:abstractNumId w:val="0"/>
  </w:num>
  <w:num w:numId="65">
    <w:abstractNumId w:val="39"/>
    <w:lvlOverride w:ilvl="0">
      <w:startOverride w:val="1"/>
    </w:lvlOverride>
  </w:num>
  <w:num w:numId="66">
    <w:abstractNumId w:val="39"/>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A6"/>
    <w:rsid w:val="00007013"/>
    <w:rsid w:val="0001586F"/>
    <w:rsid w:val="00016601"/>
    <w:rsid w:val="000226E7"/>
    <w:rsid w:val="000247A3"/>
    <w:rsid w:val="00033F28"/>
    <w:rsid w:val="0003636E"/>
    <w:rsid w:val="0003655A"/>
    <w:rsid w:val="00036868"/>
    <w:rsid w:val="000415A6"/>
    <w:rsid w:val="00041786"/>
    <w:rsid w:val="00042B63"/>
    <w:rsid w:val="00042C1C"/>
    <w:rsid w:val="000555CA"/>
    <w:rsid w:val="00060047"/>
    <w:rsid w:val="000639A7"/>
    <w:rsid w:val="0006555F"/>
    <w:rsid w:val="00066D7B"/>
    <w:rsid w:val="00067DDE"/>
    <w:rsid w:val="0007063A"/>
    <w:rsid w:val="00075F3D"/>
    <w:rsid w:val="000773B9"/>
    <w:rsid w:val="000831BD"/>
    <w:rsid w:val="00085B46"/>
    <w:rsid w:val="000861A4"/>
    <w:rsid w:val="00095CAF"/>
    <w:rsid w:val="000977BE"/>
    <w:rsid w:val="000B1D5B"/>
    <w:rsid w:val="000B4DBF"/>
    <w:rsid w:val="000B6050"/>
    <w:rsid w:val="000C15A5"/>
    <w:rsid w:val="000D089D"/>
    <w:rsid w:val="000D2D19"/>
    <w:rsid w:val="000D43FF"/>
    <w:rsid w:val="000E10DB"/>
    <w:rsid w:val="000E53A6"/>
    <w:rsid w:val="000E6C81"/>
    <w:rsid w:val="000F75BA"/>
    <w:rsid w:val="000F77EF"/>
    <w:rsid w:val="001030F5"/>
    <w:rsid w:val="0010313A"/>
    <w:rsid w:val="00105B58"/>
    <w:rsid w:val="00106313"/>
    <w:rsid w:val="001114E0"/>
    <w:rsid w:val="00115D81"/>
    <w:rsid w:val="001164AF"/>
    <w:rsid w:val="00117105"/>
    <w:rsid w:val="00121194"/>
    <w:rsid w:val="00121A96"/>
    <w:rsid w:val="00126199"/>
    <w:rsid w:val="00126B7B"/>
    <w:rsid w:val="0013286E"/>
    <w:rsid w:val="00132918"/>
    <w:rsid w:val="00133A8E"/>
    <w:rsid w:val="00136697"/>
    <w:rsid w:val="00141ECD"/>
    <w:rsid w:val="00141F44"/>
    <w:rsid w:val="001459D1"/>
    <w:rsid w:val="00145E5D"/>
    <w:rsid w:val="001506E1"/>
    <w:rsid w:val="00150964"/>
    <w:rsid w:val="00151FA1"/>
    <w:rsid w:val="00153E17"/>
    <w:rsid w:val="00154107"/>
    <w:rsid w:val="00162345"/>
    <w:rsid w:val="00167555"/>
    <w:rsid w:val="001676E3"/>
    <w:rsid w:val="00173CBC"/>
    <w:rsid w:val="00183B10"/>
    <w:rsid w:val="00187BF3"/>
    <w:rsid w:val="00190A5E"/>
    <w:rsid w:val="001A064C"/>
    <w:rsid w:val="001A4746"/>
    <w:rsid w:val="001B3173"/>
    <w:rsid w:val="001B3C28"/>
    <w:rsid w:val="001C3179"/>
    <w:rsid w:val="001C4936"/>
    <w:rsid w:val="001C5A1F"/>
    <w:rsid w:val="001D27C8"/>
    <w:rsid w:val="001D3E99"/>
    <w:rsid w:val="001D5C18"/>
    <w:rsid w:val="001E3867"/>
    <w:rsid w:val="001E53EF"/>
    <w:rsid w:val="001E703F"/>
    <w:rsid w:val="00204F88"/>
    <w:rsid w:val="00204FD1"/>
    <w:rsid w:val="0020737B"/>
    <w:rsid w:val="002073D9"/>
    <w:rsid w:val="002103BC"/>
    <w:rsid w:val="00214A12"/>
    <w:rsid w:val="002154FF"/>
    <w:rsid w:val="00231E15"/>
    <w:rsid w:val="002407DE"/>
    <w:rsid w:val="00244E96"/>
    <w:rsid w:val="0024697C"/>
    <w:rsid w:val="0025669E"/>
    <w:rsid w:val="00260833"/>
    <w:rsid w:val="00262C1B"/>
    <w:rsid w:val="002646CC"/>
    <w:rsid w:val="00271C41"/>
    <w:rsid w:val="00272E28"/>
    <w:rsid w:val="00275779"/>
    <w:rsid w:val="00281F5E"/>
    <w:rsid w:val="00283ABF"/>
    <w:rsid w:val="0028438D"/>
    <w:rsid w:val="00287DE4"/>
    <w:rsid w:val="00290CE2"/>
    <w:rsid w:val="00290F45"/>
    <w:rsid w:val="00294A81"/>
    <w:rsid w:val="002A752E"/>
    <w:rsid w:val="002B162E"/>
    <w:rsid w:val="002B3C5D"/>
    <w:rsid w:val="002B3E85"/>
    <w:rsid w:val="002C0D65"/>
    <w:rsid w:val="002C27F7"/>
    <w:rsid w:val="002C795F"/>
    <w:rsid w:val="002D1367"/>
    <w:rsid w:val="002D1E67"/>
    <w:rsid w:val="002D2083"/>
    <w:rsid w:val="002D3C27"/>
    <w:rsid w:val="002E17F0"/>
    <w:rsid w:val="002E2C7C"/>
    <w:rsid w:val="002E5DCE"/>
    <w:rsid w:val="002E7F49"/>
    <w:rsid w:val="002F18A8"/>
    <w:rsid w:val="002F1EBA"/>
    <w:rsid w:val="002F3E75"/>
    <w:rsid w:val="002F7172"/>
    <w:rsid w:val="00302885"/>
    <w:rsid w:val="00312CCE"/>
    <w:rsid w:val="003137F0"/>
    <w:rsid w:val="003162B5"/>
    <w:rsid w:val="00317F20"/>
    <w:rsid w:val="00326EF5"/>
    <w:rsid w:val="00330275"/>
    <w:rsid w:val="0033482E"/>
    <w:rsid w:val="00334C17"/>
    <w:rsid w:val="00336F33"/>
    <w:rsid w:val="00341E42"/>
    <w:rsid w:val="003432AA"/>
    <w:rsid w:val="00343E6E"/>
    <w:rsid w:val="00347444"/>
    <w:rsid w:val="003519A0"/>
    <w:rsid w:val="003533CA"/>
    <w:rsid w:val="003549A8"/>
    <w:rsid w:val="00357E59"/>
    <w:rsid w:val="003605A2"/>
    <w:rsid w:val="00362C74"/>
    <w:rsid w:val="003630A0"/>
    <w:rsid w:val="00365076"/>
    <w:rsid w:val="00365975"/>
    <w:rsid w:val="00366F5B"/>
    <w:rsid w:val="00380D68"/>
    <w:rsid w:val="003836EB"/>
    <w:rsid w:val="0038433B"/>
    <w:rsid w:val="003933E0"/>
    <w:rsid w:val="003B3B09"/>
    <w:rsid w:val="003C0BF2"/>
    <w:rsid w:val="003C1E83"/>
    <w:rsid w:val="003C5C4D"/>
    <w:rsid w:val="003C7E04"/>
    <w:rsid w:val="003D15D2"/>
    <w:rsid w:val="003D1665"/>
    <w:rsid w:val="003D3690"/>
    <w:rsid w:val="003D4AC5"/>
    <w:rsid w:val="003D7061"/>
    <w:rsid w:val="003E2745"/>
    <w:rsid w:val="003E4DA9"/>
    <w:rsid w:val="003E615A"/>
    <w:rsid w:val="003F3667"/>
    <w:rsid w:val="003F7A89"/>
    <w:rsid w:val="004018BA"/>
    <w:rsid w:val="004026F2"/>
    <w:rsid w:val="00407D28"/>
    <w:rsid w:val="00413374"/>
    <w:rsid w:val="00414A12"/>
    <w:rsid w:val="0041533A"/>
    <w:rsid w:val="004210CC"/>
    <w:rsid w:val="004212AC"/>
    <w:rsid w:val="00421449"/>
    <w:rsid w:val="00421847"/>
    <w:rsid w:val="00424D98"/>
    <w:rsid w:val="004316E2"/>
    <w:rsid w:val="0043172D"/>
    <w:rsid w:val="00436319"/>
    <w:rsid w:val="0044063B"/>
    <w:rsid w:val="00441859"/>
    <w:rsid w:val="0044392F"/>
    <w:rsid w:val="00451EBA"/>
    <w:rsid w:val="00452D83"/>
    <w:rsid w:val="00456C2A"/>
    <w:rsid w:val="004574DA"/>
    <w:rsid w:val="00462C39"/>
    <w:rsid w:val="00470983"/>
    <w:rsid w:val="00476914"/>
    <w:rsid w:val="00476B47"/>
    <w:rsid w:val="00477584"/>
    <w:rsid w:val="0047779A"/>
    <w:rsid w:val="00480C1F"/>
    <w:rsid w:val="00481B8C"/>
    <w:rsid w:val="00482148"/>
    <w:rsid w:val="004912DB"/>
    <w:rsid w:val="00491DE5"/>
    <w:rsid w:val="00492639"/>
    <w:rsid w:val="00493BFA"/>
    <w:rsid w:val="00493EBE"/>
    <w:rsid w:val="004A270A"/>
    <w:rsid w:val="004A28B8"/>
    <w:rsid w:val="004A28F7"/>
    <w:rsid w:val="004A395E"/>
    <w:rsid w:val="004A5590"/>
    <w:rsid w:val="004A5CA2"/>
    <w:rsid w:val="004B1491"/>
    <w:rsid w:val="004C073B"/>
    <w:rsid w:val="004C3086"/>
    <w:rsid w:val="004C5C36"/>
    <w:rsid w:val="004C61B8"/>
    <w:rsid w:val="004C7843"/>
    <w:rsid w:val="004E1A49"/>
    <w:rsid w:val="004F3114"/>
    <w:rsid w:val="004F598C"/>
    <w:rsid w:val="00501F21"/>
    <w:rsid w:val="00504EBC"/>
    <w:rsid w:val="00506448"/>
    <w:rsid w:val="005109C2"/>
    <w:rsid w:val="0051153D"/>
    <w:rsid w:val="00523D79"/>
    <w:rsid w:val="00523EE5"/>
    <w:rsid w:val="005247BF"/>
    <w:rsid w:val="0052556D"/>
    <w:rsid w:val="005260D3"/>
    <w:rsid w:val="0053728A"/>
    <w:rsid w:val="00560BEA"/>
    <w:rsid w:val="00561725"/>
    <w:rsid w:val="0056222B"/>
    <w:rsid w:val="0056581B"/>
    <w:rsid w:val="00570274"/>
    <w:rsid w:val="00571DE0"/>
    <w:rsid w:val="00574BEB"/>
    <w:rsid w:val="00585F59"/>
    <w:rsid w:val="00586563"/>
    <w:rsid w:val="005A0FA9"/>
    <w:rsid w:val="005A33C8"/>
    <w:rsid w:val="005A779C"/>
    <w:rsid w:val="005B103F"/>
    <w:rsid w:val="005B190C"/>
    <w:rsid w:val="005B1BA6"/>
    <w:rsid w:val="005B2E6C"/>
    <w:rsid w:val="005B52C5"/>
    <w:rsid w:val="005B7AC2"/>
    <w:rsid w:val="005C1763"/>
    <w:rsid w:val="005C1A99"/>
    <w:rsid w:val="005C4397"/>
    <w:rsid w:val="005C5258"/>
    <w:rsid w:val="005C693D"/>
    <w:rsid w:val="005C6E5F"/>
    <w:rsid w:val="005C710A"/>
    <w:rsid w:val="005D2DF2"/>
    <w:rsid w:val="005D48C6"/>
    <w:rsid w:val="005E44ED"/>
    <w:rsid w:val="005F512A"/>
    <w:rsid w:val="005F6BFF"/>
    <w:rsid w:val="00602386"/>
    <w:rsid w:val="00604B64"/>
    <w:rsid w:val="00607F56"/>
    <w:rsid w:val="00612C11"/>
    <w:rsid w:val="00616413"/>
    <w:rsid w:val="00616720"/>
    <w:rsid w:val="0062680A"/>
    <w:rsid w:val="00627E48"/>
    <w:rsid w:val="0063601B"/>
    <w:rsid w:val="00640405"/>
    <w:rsid w:val="00641FA6"/>
    <w:rsid w:val="006448EA"/>
    <w:rsid w:val="00653A17"/>
    <w:rsid w:val="0065407C"/>
    <w:rsid w:val="006542CF"/>
    <w:rsid w:val="0065442A"/>
    <w:rsid w:val="006551FA"/>
    <w:rsid w:val="00656B74"/>
    <w:rsid w:val="00661EDC"/>
    <w:rsid w:val="006620C4"/>
    <w:rsid w:val="00667CA3"/>
    <w:rsid w:val="00670CEC"/>
    <w:rsid w:val="00674733"/>
    <w:rsid w:val="0067589F"/>
    <w:rsid w:val="006769AF"/>
    <w:rsid w:val="00677203"/>
    <w:rsid w:val="00682B33"/>
    <w:rsid w:val="00684066"/>
    <w:rsid w:val="00687234"/>
    <w:rsid w:val="006944C3"/>
    <w:rsid w:val="006A3E7E"/>
    <w:rsid w:val="006A6209"/>
    <w:rsid w:val="006B39AC"/>
    <w:rsid w:val="006B40E0"/>
    <w:rsid w:val="006B7F3A"/>
    <w:rsid w:val="006C093D"/>
    <w:rsid w:val="006C68F5"/>
    <w:rsid w:val="006D0DB5"/>
    <w:rsid w:val="006D11D9"/>
    <w:rsid w:val="006D63B0"/>
    <w:rsid w:val="006E024C"/>
    <w:rsid w:val="006E2DBD"/>
    <w:rsid w:val="006E7463"/>
    <w:rsid w:val="006F0DA3"/>
    <w:rsid w:val="006F288F"/>
    <w:rsid w:val="006F358F"/>
    <w:rsid w:val="006F6F38"/>
    <w:rsid w:val="006F77D7"/>
    <w:rsid w:val="007076F9"/>
    <w:rsid w:val="0071085E"/>
    <w:rsid w:val="007129DC"/>
    <w:rsid w:val="00712CDB"/>
    <w:rsid w:val="007162BA"/>
    <w:rsid w:val="00723CB6"/>
    <w:rsid w:val="00723D9E"/>
    <w:rsid w:val="00724334"/>
    <w:rsid w:val="00725C56"/>
    <w:rsid w:val="0072763A"/>
    <w:rsid w:val="007301D9"/>
    <w:rsid w:val="00732345"/>
    <w:rsid w:val="00733E72"/>
    <w:rsid w:val="007451E8"/>
    <w:rsid w:val="00745A5F"/>
    <w:rsid w:val="007465D7"/>
    <w:rsid w:val="00746FAA"/>
    <w:rsid w:val="00756F8C"/>
    <w:rsid w:val="00767D49"/>
    <w:rsid w:val="0077353A"/>
    <w:rsid w:val="007737AA"/>
    <w:rsid w:val="007748D8"/>
    <w:rsid w:val="00783A55"/>
    <w:rsid w:val="00783DB1"/>
    <w:rsid w:val="007867D2"/>
    <w:rsid w:val="00787A9B"/>
    <w:rsid w:val="00791935"/>
    <w:rsid w:val="00795185"/>
    <w:rsid w:val="007951CA"/>
    <w:rsid w:val="007975E1"/>
    <w:rsid w:val="007A1E6C"/>
    <w:rsid w:val="007B65A0"/>
    <w:rsid w:val="007C126E"/>
    <w:rsid w:val="007C1B34"/>
    <w:rsid w:val="007C5EE1"/>
    <w:rsid w:val="007C7679"/>
    <w:rsid w:val="007D5230"/>
    <w:rsid w:val="007D61DE"/>
    <w:rsid w:val="007E023C"/>
    <w:rsid w:val="007E053F"/>
    <w:rsid w:val="007E671E"/>
    <w:rsid w:val="007E7D2E"/>
    <w:rsid w:val="007F2117"/>
    <w:rsid w:val="007F3AF8"/>
    <w:rsid w:val="007F4490"/>
    <w:rsid w:val="007F5698"/>
    <w:rsid w:val="00814258"/>
    <w:rsid w:val="00814793"/>
    <w:rsid w:val="00815886"/>
    <w:rsid w:val="00817CAA"/>
    <w:rsid w:val="008234F8"/>
    <w:rsid w:val="00823932"/>
    <w:rsid w:val="00825972"/>
    <w:rsid w:val="00832F44"/>
    <w:rsid w:val="008369A0"/>
    <w:rsid w:val="00837827"/>
    <w:rsid w:val="008434CA"/>
    <w:rsid w:val="00845C91"/>
    <w:rsid w:val="00873DAC"/>
    <w:rsid w:val="008850EE"/>
    <w:rsid w:val="008904E9"/>
    <w:rsid w:val="00891A8D"/>
    <w:rsid w:val="00891CF9"/>
    <w:rsid w:val="00891E8C"/>
    <w:rsid w:val="0089202E"/>
    <w:rsid w:val="008A7E17"/>
    <w:rsid w:val="008B00A5"/>
    <w:rsid w:val="008B6A50"/>
    <w:rsid w:val="008C2A2A"/>
    <w:rsid w:val="008C47B7"/>
    <w:rsid w:val="008D0686"/>
    <w:rsid w:val="008D29FC"/>
    <w:rsid w:val="008D527D"/>
    <w:rsid w:val="008E26AA"/>
    <w:rsid w:val="008E4A48"/>
    <w:rsid w:val="008F2809"/>
    <w:rsid w:val="008F5CF9"/>
    <w:rsid w:val="009004C1"/>
    <w:rsid w:val="00901DA1"/>
    <w:rsid w:val="009021DF"/>
    <w:rsid w:val="00904AF1"/>
    <w:rsid w:val="00907884"/>
    <w:rsid w:val="0091333C"/>
    <w:rsid w:val="00913E6C"/>
    <w:rsid w:val="00921E4C"/>
    <w:rsid w:val="00934943"/>
    <w:rsid w:val="00941F82"/>
    <w:rsid w:val="00945DEC"/>
    <w:rsid w:val="00946E74"/>
    <w:rsid w:val="0095340E"/>
    <w:rsid w:val="00954059"/>
    <w:rsid w:val="00955115"/>
    <w:rsid w:val="009557C3"/>
    <w:rsid w:val="00961048"/>
    <w:rsid w:val="00965B3D"/>
    <w:rsid w:val="0097056A"/>
    <w:rsid w:val="00973737"/>
    <w:rsid w:val="00973E28"/>
    <w:rsid w:val="00977870"/>
    <w:rsid w:val="00980200"/>
    <w:rsid w:val="00983FF1"/>
    <w:rsid w:val="00986790"/>
    <w:rsid w:val="009921FC"/>
    <w:rsid w:val="00993CAA"/>
    <w:rsid w:val="009A048A"/>
    <w:rsid w:val="009A2C5C"/>
    <w:rsid w:val="009A48D4"/>
    <w:rsid w:val="009A5974"/>
    <w:rsid w:val="009A72FE"/>
    <w:rsid w:val="009B0955"/>
    <w:rsid w:val="009B2F81"/>
    <w:rsid w:val="009B46A6"/>
    <w:rsid w:val="009B5614"/>
    <w:rsid w:val="009D0301"/>
    <w:rsid w:val="009D5010"/>
    <w:rsid w:val="009D69FE"/>
    <w:rsid w:val="009E0843"/>
    <w:rsid w:val="009E204B"/>
    <w:rsid w:val="009E43EE"/>
    <w:rsid w:val="009E6EC3"/>
    <w:rsid w:val="009F0C0B"/>
    <w:rsid w:val="009F2E10"/>
    <w:rsid w:val="009F3838"/>
    <w:rsid w:val="00A0181C"/>
    <w:rsid w:val="00A01C64"/>
    <w:rsid w:val="00A06B76"/>
    <w:rsid w:val="00A1139E"/>
    <w:rsid w:val="00A13500"/>
    <w:rsid w:val="00A174AE"/>
    <w:rsid w:val="00A2202A"/>
    <w:rsid w:val="00A22C63"/>
    <w:rsid w:val="00A23837"/>
    <w:rsid w:val="00A3264D"/>
    <w:rsid w:val="00A348CA"/>
    <w:rsid w:val="00A354D1"/>
    <w:rsid w:val="00A37662"/>
    <w:rsid w:val="00A414C3"/>
    <w:rsid w:val="00A4275C"/>
    <w:rsid w:val="00A54950"/>
    <w:rsid w:val="00A554F5"/>
    <w:rsid w:val="00A61DED"/>
    <w:rsid w:val="00A62B30"/>
    <w:rsid w:val="00A648E7"/>
    <w:rsid w:val="00A67780"/>
    <w:rsid w:val="00A71B66"/>
    <w:rsid w:val="00A72EF0"/>
    <w:rsid w:val="00A916B0"/>
    <w:rsid w:val="00A928CF"/>
    <w:rsid w:val="00A96396"/>
    <w:rsid w:val="00A97090"/>
    <w:rsid w:val="00AA2ABA"/>
    <w:rsid w:val="00AA59C1"/>
    <w:rsid w:val="00AA7921"/>
    <w:rsid w:val="00AA7D57"/>
    <w:rsid w:val="00AB28E4"/>
    <w:rsid w:val="00AB484F"/>
    <w:rsid w:val="00AB6161"/>
    <w:rsid w:val="00AB6B05"/>
    <w:rsid w:val="00AC10DC"/>
    <w:rsid w:val="00AD28EE"/>
    <w:rsid w:val="00AD46C5"/>
    <w:rsid w:val="00AD6551"/>
    <w:rsid w:val="00AD7348"/>
    <w:rsid w:val="00AE700F"/>
    <w:rsid w:val="00AF3205"/>
    <w:rsid w:val="00AF3EC1"/>
    <w:rsid w:val="00AF7F43"/>
    <w:rsid w:val="00B01D5F"/>
    <w:rsid w:val="00B066A7"/>
    <w:rsid w:val="00B13C8C"/>
    <w:rsid w:val="00B15504"/>
    <w:rsid w:val="00B21078"/>
    <w:rsid w:val="00B22362"/>
    <w:rsid w:val="00B246C0"/>
    <w:rsid w:val="00B3209E"/>
    <w:rsid w:val="00B36DA8"/>
    <w:rsid w:val="00B40848"/>
    <w:rsid w:val="00B4203E"/>
    <w:rsid w:val="00B52041"/>
    <w:rsid w:val="00B5588A"/>
    <w:rsid w:val="00B601CF"/>
    <w:rsid w:val="00B645B0"/>
    <w:rsid w:val="00B64CAC"/>
    <w:rsid w:val="00B64F7C"/>
    <w:rsid w:val="00B6528C"/>
    <w:rsid w:val="00B674F3"/>
    <w:rsid w:val="00B72FBB"/>
    <w:rsid w:val="00B74CCA"/>
    <w:rsid w:val="00B753AA"/>
    <w:rsid w:val="00B874B2"/>
    <w:rsid w:val="00B87DBF"/>
    <w:rsid w:val="00BA67AE"/>
    <w:rsid w:val="00BA741F"/>
    <w:rsid w:val="00BA76EB"/>
    <w:rsid w:val="00BB0BF2"/>
    <w:rsid w:val="00BB2E49"/>
    <w:rsid w:val="00BC3A5E"/>
    <w:rsid w:val="00BC3E32"/>
    <w:rsid w:val="00BC496F"/>
    <w:rsid w:val="00BC7535"/>
    <w:rsid w:val="00BD5304"/>
    <w:rsid w:val="00BD620F"/>
    <w:rsid w:val="00BE293A"/>
    <w:rsid w:val="00BE53B2"/>
    <w:rsid w:val="00BF0B3D"/>
    <w:rsid w:val="00BF361E"/>
    <w:rsid w:val="00BF4B2A"/>
    <w:rsid w:val="00C013E4"/>
    <w:rsid w:val="00C02473"/>
    <w:rsid w:val="00C04217"/>
    <w:rsid w:val="00C127DC"/>
    <w:rsid w:val="00C149C3"/>
    <w:rsid w:val="00C16A7F"/>
    <w:rsid w:val="00C17360"/>
    <w:rsid w:val="00C17704"/>
    <w:rsid w:val="00C20547"/>
    <w:rsid w:val="00C219C8"/>
    <w:rsid w:val="00C225E4"/>
    <w:rsid w:val="00C25831"/>
    <w:rsid w:val="00C27C1F"/>
    <w:rsid w:val="00C3039D"/>
    <w:rsid w:val="00C30521"/>
    <w:rsid w:val="00C3225A"/>
    <w:rsid w:val="00C347A8"/>
    <w:rsid w:val="00C34C18"/>
    <w:rsid w:val="00C40024"/>
    <w:rsid w:val="00C43682"/>
    <w:rsid w:val="00C5186B"/>
    <w:rsid w:val="00C53731"/>
    <w:rsid w:val="00C57DA7"/>
    <w:rsid w:val="00C61689"/>
    <w:rsid w:val="00C62738"/>
    <w:rsid w:val="00C63513"/>
    <w:rsid w:val="00C673B5"/>
    <w:rsid w:val="00C67499"/>
    <w:rsid w:val="00C71305"/>
    <w:rsid w:val="00C736D6"/>
    <w:rsid w:val="00C737B9"/>
    <w:rsid w:val="00C73892"/>
    <w:rsid w:val="00C73EF0"/>
    <w:rsid w:val="00C80F12"/>
    <w:rsid w:val="00C856A3"/>
    <w:rsid w:val="00C861DA"/>
    <w:rsid w:val="00C9050A"/>
    <w:rsid w:val="00C9611F"/>
    <w:rsid w:val="00CA371F"/>
    <w:rsid w:val="00CA3FC5"/>
    <w:rsid w:val="00CA4D48"/>
    <w:rsid w:val="00CA53F9"/>
    <w:rsid w:val="00CA5E62"/>
    <w:rsid w:val="00CB28F4"/>
    <w:rsid w:val="00CC0304"/>
    <w:rsid w:val="00CC26FA"/>
    <w:rsid w:val="00CC793D"/>
    <w:rsid w:val="00CD22F0"/>
    <w:rsid w:val="00CD351F"/>
    <w:rsid w:val="00CD3750"/>
    <w:rsid w:val="00CD37A1"/>
    <w:rsid w:val="00CD46AA"/>
    <w:rsid w:val="00CD77BB"/>
    <w:rsid w:val="00CE4450"/>
    <w:rsid w:val="00CF11CC"/>
    <w:rsid w:val="00CF49D8"/>
    <w:rsid w:val="00D0059A"/>
    <w:rsid w:val="00D02156"/>
    <w:rsid w:val="00D03AE3"/>
    <w:rsid w:val="00D056E2"/>
    <w:rsid w:val="00D05E23"/>
    <w:rsid w:val="00D06C6A"/>
    <w:rsid w:val="00D07648"/>
    <w:rsid w:val="00D10623"/>
    <w:rsid w:val="00D20795"/>
    <w:rsid w:val="00D24073"/>
    <w:rsid w:val="00D253B9"/>
    <w:rsid w:val="00D3114A"/>
    <w:rsid w:val="00D31BD3"/>
    <w:rsid w:val="00D32E54"/>
    <w:rsid w:val="00D330C0"/>
    <w:rsid w:val="00D358D3"/>
    <w:rsid w:val="00D368D9"/>
    <w:rsid w:val="00D41D57"/>
    <w:rsid w:val="00D51609"/>
    <w:rsid w:val="00D523B0"/>
    <w:rsid w:val="00D53111"/>
    <w:rsid w:val="00D54866"/>
    <w:rsid w:val="00D671BF"/>
    <w:rsid w:val="00D71C71"/>
    <w:rsid w:val="00D72A93"/>
    <w:rsid w:val="00D73397"/>
    <w:rsid w:val="00D73CF4"/>
    <w:rsid w:val="00D80FCE"/>
    <w:rsid w:val="00D81AC5"/>
    <w:rsid w:val="00D81CAF"/>
    <w:rsid w:val="00D823B7"/>
    <w:rsid w:val="00D91AC1"/>
    <w:rsid w:val="00D9259F"/>
    <w:rsid w:val="00D94607"/>
    <w:rsid w:val="00D971D6"/>
    <w:rsid w:val="00D97867"/>
    <w:rsid w:val="00DC319E"/>
    <w:rsid w:val="00DC413E"/>
    <w:rsid w:val="00DC597E"/>
    <w:rsid w:val="00DD36EC"/>
    <w:rsid w:val="00DE7968"/>
    <w:rsid w:val="00DF248C"/>
    <w:rsid w:val="00E02D50"/>
    <w:rsid w:val="00E06790"/>
    <w:rsid w:val="00E12788"/>
    <w:rsid w:val="00E131D4"/>
    <w:rsid w:val="00E157E7"/>
    <w:rsid w:val="00E20B75"/>
    <w:rsid w:val="00E2211A"/>
    <w:rsid w:val="00E269A4"/>
    <w:rsid w:val="00E26B27"/>
    <w:rsid w:val="00E502ED"/>
    <w:rsid w:val="00E51B21"/>
    <w:rsid w:val="00E52764"/>
    <w:rsid w:val="00E57677"/>
    <w:rsid w:val="00E604CF"/>
    <w:rsid w:val="00E634BF"/>
    <w:rsid w:val="00E76E85"/>
    <w:rsid w:val="00E8516E"/>
    <w:rsid w:val="00E95793"/>
    <w:rsid w:val="00E96381"/>
    <w:rsid w:val="00EA233E"/>
    <w:rsid w:val="00EA6350"/>
    <w:rsid w:val="00EB0364"/>
    <w:rsid w:val="00EC6509"/>
    <w:rsid w:val="00EC7670"/>
    <w:rsid w:val="00ED56B7"/>
    <w:rsid w:val="00EE1B32"/>
    <w:rsid w:val="00EE68AC"/>
    <w:rsid w:val="00EE702D"/>
    <w:rsid w:val="00EE7A63"/>
    <w:rsid w:val="00EF048B"/>
    <w:rsid w:val="00EF544F"/>
    <w:rsid w:val="00EF7DCD"/>
    <w:rsid w:val="00F025B9"/>
    <w:rsid w:val="00F03D43"/>
    <w:rsid w:val="00F05757"/>
    <w:rsid w:val="00F10F63"/>
    <w:rsid w:val="00F21120"/>
    <w:rsid w:val="00F224AC"/>
    <w:rsid w:val="00F32D13"/>
    <w:rsid w:val="00F34849"/>
    <w:rsid w:val="00F37615"/>
    <w:rsid w:val="00F4015A"/>
    <w:rsid w:val="00F40352"/>
    <w:rsid w:val="00F4141F"/>
    <w:rsid w:val="00F462FD"/>
    <w:rsid w:val="00F46395"/>
    <w:rsid w:val="00F479B6"/>
    <w:rsid w:val="00F5195A"/>
    <w:rsid w:val="00F60A4F"/>
    <w:rsid w:val="00F619B3"/>
    <w:rsid w:val="00F6301B"/>
    <w:rsid w:val="00F64958"/>
    <w:rsid w:val="00F74C43"/>
    <w:rsid w:val="00F75C8E"/>
    <w:rsid w:val="00F75CAD"/>
    <w:rsid w:val="00F8462E"/>
    <w:rsid w:val="00F9009D"/>
    <w:rsid w:val="00F9104C"/>
    <w:rsid w:val="00F950E3"/>
    <w:rsid w:val="00F961D2"/>
    <w:rsid w:val="00FA2148"/>
    <w:rsid w:val="00FA51DF"/>
    <w:rsid w:val="00FA5FC0"/>
    <w:rsid w:val="00FA7CB3"/>
    <w:rsid w:val="00FB1BB8"/>
    <w:rsid w:val="00FB6CB9"/>
    <w:rsid w:val="00FD18D2"/>
    <w:rsid w:val="00FD6F93"/>
    <w:rsid w:val="00FE02A1"/>
    <w:rsid w:val="00FE3009"/>
    <w:rsid w:val="00FE549B"/>
    <w:rsid w:val="00FE7A61"/>
    <w:rsid w:val="00FF2603"/>
    <w:rsid w:val="00FF3411"/>
    <w:rsid w:val="00FF3F29"/>
    <w:rsid w:val="01715CEB"/>
    <w:rsid w:val="03DD3BE6"/>
    <w:rsid w:val="04C13E58"/>
    <w:rsid w:val="078523E2"/>
    <w:rsid w:val="08F316BF"/>
    <w:rsid w:val="0A0C438A"/>
    <w:rsid w:val="0AF67B8B"/>
    <w:rsid w:val="0BBB664F"/>
    <w:rsid w:val="0BC414DD"/>
    <w:rsid w:val="0D86333C"/>
    <w:rsid w:val="0F32467D"/>
    <w:rsid w:val="104D064D"/>
    <w:rsid w:val="10950A41"/>
    <w:rsid w:val="13B26760"/>
    <w:rsid w:val="14084692"/>
    <w:rsid w:val="143D6344"/>
    <w:rsid w:val="148C1946"/>
    <w:rsid w:val="165321AB"/>
    <w:rsid w:val="178B0FAF"/>
    <w:rsid w:val="17DC7AB4"/>
    <w:rsid w:val="17E44EC0"/>
    <w:rsid w:val="18DA1F55"/>
    <w:rsid w:val="19C00F4E"/>
    <w:rsid w:val="1A1928E2"/>
    <w:rsid w:val="1BD73B3C"/>
    <w:rsid w:val="217008EA"/>
    <w:rsid w:val="230C030B"/>
    <w:rsid w:val="23567486"/>
    <w:rsid w:val="23AF6C1B"/>
    <w:rsid w:val="2412563B"/>
    <w:rsid w:val="24B1643E"/>
    <w:rsid w:val="25DE142E"/>
    <w:rsid w:val="26174A8B"/>
    <w:rsid w:val="26831BBC"/>
    <w:rsid w:val="286B52E0"/>
    <w:rsid w:val="289528A1"/>
    <w:rsid w:val="293D5638"/>
    <w:rsid w:val="2A35454B"/>
    <w:rsid w:val="2AA45E84"/>
    <w:rsid w:val="2E743646"/>
    <w:rsid w:val="342B1BA3"/>
    <w:rsid w:val="36393E81"/>
    <w:rsid w:val="36887484"/>
    <w:rsid w:val="39F32D23"/>
    <w:rsid w:val="40360E64"/>
    <w:rsid w:val="40880C6E"/>
    <w:rsid w:val="42714011"/>
    <w:rsid w:val="44F32A2B"/>
    <w:rsid w:val="4A9F427C"/>
    <w:rsid w:val="4CDF47AB"/>
    <w:rsid w:val="4D6B7C12"/>
    <w:rsid w:val="54103BF9"/>
    <w:rsid w:val="58C106A9"/>
    <w:rsid w:val="59DE55FD"/>
    <w:rsid w:val="5A1E3E69"/>
    <w:rsid w:val="5BEC78DC"/>
    <w:rsid w:val="5DA34A2F"/>
    <w:rsid w:val="5E67476D"/>
    <w:rsid w:val="5E712AFE"/>
    <w:rsid w:val="5EA24952"/>
    <w:rsid w:val="5F20741E"/>
    <w:rsid w:val="5F456359"/>
    <w:rsid w:val="5FB47C92"/>
    <w:rsid w:val="600A4E1D"/>
    <w:rsid w:val="617940FB"/>
    <w:rsid w:val="62173BF9"/>
    <w:rsid w:val="63DE0FE6"/>
    <w:rsid w:val="6701538B"/>
    <w:rsid w:val="68642A54"/>
    <w:rsid w:val="68D23088"/>
    <w:rsid w:val="6A0D758C"/>
    <w:rsid w:val="6B2E2EE7"/>
    <w:rsid w:val="6BD46EF8"/>
    <w:rsid w:val="6EFB3EA2"/>
    <w:rsid w:val="6F601648"/>
    <w:rsid w:val="6F853E06"/>
    <w:rsid w:val="711F0324"/>
    <w:rsid w:val="716F71A9"/>
    <w:rsid w:val="718B0CD8"/>
    <w:rsid w:val="71E061E4"/>
    <w:rsid w:val="721F5CC8"/>
    <w:rsid w:val="748F47C8"/>
    <w:rsid w:val="75795A4A"/>
    <w:rsid w:val="75EE7C07"/>
    <w:rsid w:val="768F5592"/>
    <w:rsid w:val="771479EA"/>
    <w:rsid w:val="77CD4C1A"/>
    <w:rsid w:val="77E36DBE"/>
    <w:rsid w:val="7808157C"/>
    <w:rsid w:val="79E03380"/>
    <w:rsid w:val="7C4C127B"/>
    <w:rsid w:val="7E772B0A"/>
    <w:rsid w:val="7EC06781"/>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5FB42C-ACAD-44E6-AB70-172F1B3D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Heading1Char"/>
    <w:autoRedefine/>
    <w:uiPriority w:val="9"/>
    <w:qFormat/>
    <w:rsid w:val="00BD620F"/>
    <w:pPr>
      <w:keepNext/>
      <w:keepLines/>
      <w:numPr>
        <w:numId w:val="26"/>
      </w:numPr>
      <w:shd w:val="clear" w:color="auto" w:fill="FFFFFF"/>
      <w:tabs>
        <w:tab w:val="left" w:pos="-90"/>
        <w:tab w:val="left" w:pos="360"/>
        <w:tab w:val="left" w:pos="1080"/>
      </w:tabs>
      <w:spacing w:before="240" w:after="0" w:line="240" w:lineRule="auto"/>
      <w:ind w:left="0" w:firstLine="0"/>
      <w:jc w:val="both"/>
      <w:outlineLvl w:val="0"/>
    </w:pPr>
    <w:rPr>
      <w:rFonts w:ascii="Tahoma" w:eastAsiaTheme="majorEastAsia" w:hAnsi="Tahoma" w:cstheme="majorBidi"/>
      <w:b/>
      <w:sz w:val="24"/>
      <w:szCs w:val="32"/>
    </w:rPr>
  </w:style>
  <w:style w:type="paragraph" w:styleId="Heading2">
    <w:name w:val="heading 2"/>
    <w:basedOn w:val="NoSpacing1"/>
    <w:next w:val="Normal"/>
    <w:link w:val="Heading2Char"/>
    <w:uiPriority w:val="9"/>
    <w:unhideWhenUsed/>
    <w:qFormat/>
    <w:rsid w:val="004C5C36"/>
    <w:pPr>
      <w:numPr>
        <w:ilvl w:val="1"/>
        <w:numId w:val="26"/>
      </w:numPr>
      <w:tabs>
        <w:tab w:val="left" w:pos="1080"/>
        <w:tab w:val="left" w:pos="1530"/>
      </w:tabs>
      <w:ind w:left="1620" w:hanging="630"/>
      <w:jc w:val="both"/>
      <w:outlineLvl w:val="1"/>
    </w:pPr>
    <w:rPr>
      <w:rFonts w:ascii="Tahoma" w:hAnsi="Tahoma" w:cs="Tahoma"/>
      <w:color w:val="000000" w:themeColor="text1"/>
      <w:sz w:val="24"/>
      <w:szCs w:val="24"/>
    </w:rPr>
  </w:style>
  <w:style w:type="paragraph" w:styleId="Heading3">
    <w:name w:val="heading 3"/>
    <w:basedOn w:val="Heading2"/>
    <w:next w:val="Normal"/>
    <w:link w:val="Heading3Char"/>
    <w:uiPriority w:val="9"/>
    <w:unhideWhenUsed/>
    <w:qFormat/>
    <w:rsid w:val="005C6E5F"/>
    <w:pPr>
      <w:numPr>
        <w:ilvl w:val="2"/>
      </w:numPr>
      <w:tabs>
        <w:tab w:val="left" w:pos="72"/>
      </w:tabs>
      <w:ind w:left="2430" w:hanging="810"/>
      <w:outlineLvl w:val="2"/>
    </w:pPr>
  </w:style>
  <w:style w:type="paragraph" w:styleId="Heading4">
    <w:name w:val="heading 4"/>
    <w:basedOn w:val="Normal"/>
    <w:next w:val="Normal"/>
    <w:link w:val="Heading4Char"/>
    <w:uiPriority w:val="9"/>
    <w:semiHidden/>
    <w:unhideWhenUsed/>
    <w:qFormat/>
    <w:rsid w:val="00946E74"/>
    <w:pPr>
      <w:keepNext/>
      <w:keepLines/>
      <w:numPr>
        <w:numId w:val="35"/>
      </w:numPr>
      <w:spacing w:before="40" w:after="0"/>
      <w:jc w:val="both"/>
      <w:outlineLvl w:val="3"/>
    </w:pPr>
    <w:rPr>
      <w:rFonts w:ascii="Tahoma" w:eastAsiaTheme="majorEastAsia" w:hAnsi="Tahoma"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unhideWhenUsed/>
    <w:rPr>
      <w:sz w:val="16"/>
      <w:szCs w:val="16"/>
    </w:rPr>
  </w:style>
  <w:style w:type="character" w:styleId="Hyperlink">
    <w:name w:val="Hyperlink"/>
    <w:uiPriority w:val="99"/>
    <w:unhideWhenUsed/>
    <w:rPr>
      <w:color w:val="0000FF"/>
      <w:u w:val="single"/>
    </w:rPr>
  </w:style>
  <w:style w:type="paragraph" w:customStyle="1" w:styleId="NoSpacing1">
    <w:name w:val="No Spacing1"/>
    <w:link w:val="NoSpacing1Char"/>
    <w:uiPriority w:val="1"/>
    <w:qFormat/>
    <w:pPr>
      <w:spacing w:after="0" w:line="240" w:lineRule="auto"/>
    </w:pPr>
    <w:rPr>
      <w:sz w:val="22"/>
      <w:szCs w:val="22"/>
      <w:lang w:eastAsia="en-US"/>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ListParagraph2">
    <w:name w:val="List Paragraph2"/>
    <w:basedOn w:val="Normal"/>
    <w:uiPriority w:val="34"/>
    <w:qFormat/>
    <w:pPr>
      <w:ind w:left="720"/>
      <w:contextualSpacing/>
    </w:pPr>
  </w:style>
  <w:style w:type="paragraph" w:customStyle="1" w:styleId="documenttitle">
    <w:name w:val="documenttitle"/>
    <w:basedOn w:val="Normal"/>
    <w:qFormat/>
    <w:pPr>
      <w:spacing w:before="100" w:beforeAutospacing="1" w:after="100" w:afterAutospacing="1" w:line="240" w:lineRule="auto"/>
    </w:pPr>
    <w:rPr>
      <w:rFonts w:ascii="Times" w:eastAsia="SimSun" w:hAnsi="Times"/>
      <w:sz w:val="20"/>
      <w:szCs w:val="20"/>
    </w:rPr>
  </w:style>
  <w:style w:type="paragraph" w:customStyle="1" w:styleId="NoSpacing10">
    <w:name w:val="No Spacing1"/>
    <w:uiPriority w:val="1"/>
    <w:qFormat/>
    <w:rPr>
      <w:rFonts w:ascii="Calibri" w:eastAsia="Calibri" w:hAnsi="Calibri"/>
      <w:sz w:val="22"/>
      <w:szCs w:val="22"/>
      <w:lang w:val="en-US" w:eastAsia="en-US"/>
    </w:rPr>
  </w:style>
  <w:style w:type="character" w:styleId="FootnoteReference">
    <w:name w:val="footnote reference"/>
    <w:basedOn w:val="DefaultParagraphFont"/>
    <w:unhideWhenUsed/>
    <w:rsid w:val="003B3B09"/>
    <w:rPr>
      <w:vertAlign w:val="superscript"/>
    </w:rPr>
  </w:style>
  <w:style w:type="paragraph" w:styleId="ListParagraph">
    <w:name w:val="List Paragraph"/>
    <w:basedOn w:val="Normal"/>
    <w:uiPriority w:val="99"/>
    <w:rsid w:val="005C4397"/>
    <w:pPr>
      <w:ind w:left="720"/>
      <w:contextualSpacing/>
    </w:pPr>
  </w:style>
  <w:style w:type="character" w:customStyle="1" w:styleId="Heading1Char">
    <w:name w:val="Heading 1 Char"/>
    <w:basedOn w:val="DefaultParagraphFont"/>
    <w:link w:val="Heading1"/>
    <w:uiPriority w:val="9"/>
    <w:rsid w:val="00BD620F"/>
    <w:rPr>
      <w:rFonts w:ascii="Tahoma" w:eastAsiaTheme="majorEastAsia" w:hAnsi="Tahoma" w:cstheme="majorBidi"/>
      <w:b/>
      <w:sz w:val="24"/>
      <w:szCs w:val="32"/>
      <w:shd w:val="clear" w:color="auto" w:fill="FFFFFF"/>
      <w:lang w:eastAsia="en-US"/>
    </w:rPr>
  </w:style>
  <w:style w:type="character" w:customStyle="1" w:styleId="Heading2Char">
    <w:name w:val="Heading 2 Char"/>
    <w:basedOn w:val="DefaultParagraphFont"/>
    <w:link w:val="Heading2"/>
    <w:uiPriority w:val="9"/>
    <w:rsid w:val="004C5C36"/>
    <w:rPr>
      <w:rFonts w:ascii="Tahoma" w:hAnsi="Tahoma" w:cs="Tahoma"/>
      <w:color w:val="000000" w:themeColor="text1"/>
      <w:sz w:val="24"/>
      <w:szCs w:val="24"/>
      <w:lang w:eastAsia="en-US"/>
    </w:rPr>
  </w:style>
  <w:style w:type="character" w:customStyle="1" w:styleId="Heading3Char">
    <w:name w:val="Heading 3 Char"/>
    <w:basedOn w:val="DefaultParagraphFont"/>
    <w:link w:val="Heading3"/>
    <w:uiPriority w:val="9"/>
    <w:rsid w:val="005C6E5F"/>
    <w:rPr>
      <w:rFonts w:ascii="Tahoma" w:hAnsi="Tahoma" w:cs="Tahoma"/>
      <w:color w:val="000000" w:themeColor="text1"/>
      <w:sz w:val="24"/>
      <w:szCs w:val="24"/>
      <w:lang w:eastAsia="en-US"/>
    </w:rPr>
  </w:style>
  <w:style w:type="character" w:customStyle="1" w:styleId="Heading4Char">
    <w:name w:val="Heading 4 Char"/>
    <w:basedOn w:val="DefaultParagraphFont"/>
    <w:link w:val="Heading4"/>
    <w:uiPriority w:val="9"/>
    <w:semiHidden/>
    <w:rsid w:val="00684066"/>
    <w:rPr>
      <w:rFonts w:ascii="Tahoma" w:eastAsiaTheme="majorEastAsia" w:hAnsi="Tahoma" w:cstheme="majorBidi"/>
      <w:i/>
      <w:iCs/>
      <w:color w:val="365F91" w:themeColor="accent1" w:themeShade="BF"/>
      <w:sz w:val="24"/>
      <w:szCs w:val="22"/>
      <w:lang w:eastAsia="en-US"/>
    </w:rPr>
  </w:style>
  <w:style w:type="paragraph" w:customStyle="1" w:styleId="SubLettering">
    <w:name w:val="Sub Lettering"/>
    <w:basedOn w:val="Normal"/>
    <w:next w:val="Normal"/>
    <w:link w:val="SubLetteringChar"/>
    <w:qFormat/>
    <w:rsid w:val="00607F56"/>
    <w:pPr>
      <w:numPr>
        <w:numId w:val="37"/>
      </w:numPr>
      <w:tabs>
        <w:tab w:val="left" w:pos="1080"/>
        <w:tab w:val="left" w:pos="1440"/>
      </w:tabs>
      <w:jc w:val="both"/>
    </w:pPr>
    <w:rPr>
      <w:rFonts w:ascii="Tahoma" w:hAnsi="Tahoma" w:cs="Tahoma"/>
      <w:color w:val="000000" w:themeColor="text1"/>
      <w:sz w:val="24"/>
      <w:szCs w:val="24"/>
    </w:rPr>
  </w:style>
  <w:style w:type="character" w:customStyle="1" w:styleId="NoSpacing1Char">
    <w:name w:val="No Spacing1 Char"/>
    <w:basedOn w:val="DefaultParagraphFont"/>
    <w:link w:val="NoSpacing1"/>
    <w:uiPriority w:val="1"/>
    <w:rsid w:val="00946E74"/>
    <w:rPr>
      <w:sz w:val="22"/>
      <w:szCs w:val="22"/>
      <w:lang w:eastAsia="en-US"/>
    </w:rPr>
  </w:style>
  <w:style w:type="character" w:customStyle="1" w:styleId="SubLetteringChar">
    <w:name w:val="Sub Lettering Char"/>
    <w:basedOn w:val="NoSpacing1Char"/>
    <w:link w:val="SubLettering"/>
    <w:rsid w:val="00607F56"/>
    <w:rPr>
      <w:rFonts w:ascii="Tahoma" w:hAnsi="Tahoma" w:cs="Tahoma"/>
      <w:color w:val="000000" w:themeColor="text1"/>
      <w:sz w:val="24"/>
      <w:szCs w:val="24"/>
      <w:lang w:eastAsia="en-US"/>
    </w:rPr>
  </w:style>
  <w:style w:type="paragraph" w:styleId="FootnoteText">
    <w:name w:val="footnote text"/>
    <w:basedOn w:val="Normal"/>
    <w:link w:val="FootnoteTextChar"/>
    <w:uiPriority w:val="99"/>
    <w:semiHidden/>
    <w:unhideWhenUsed/>
    <w:rsid w:val="00443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9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16020-C12F-4AA6-8AE8-E1CC31F7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6963</Words>
  <Characters>39691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User</cp:lastModifiedBy>
  <cp:revision>3</cp:revision>
  <cp:lastPrinted>2016-09-25T10:28:00Z</cp:lastPrinted>
  <dcterms:created xsi:type="dcterms:W3CDTF">2016-10-03T10:33:00Z</dcterms:created>
  <dcterms:modified xsi:type="dcterms:W3CDTF">2016-10-03T10:33:00Z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